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8"/>
        <w:snapToGrid w:val="0"/>
        <w:spacing w:before="0" w:after="0"/>
        <w:ind w:firstLine="0"/>
        <w:rPr>
          <w:rStyle w:val="32"/>
          <w:rFonts w:ascii="Times New Roman" w:hAnsi="Times New Roman" w:cs="Times New Roman"/>
          <w:color w:val="auto"/>
          <w:highlight w:val="none"/>
        </w:rPr>
      </w:pPr>
      <w:bookmarkStart w:id="0" w:name="_GoBack"/>
      <w:bookmarkEnd w:id="0"/>
    </w:p>
    <w:p>
      <w:pPr>
        <w:pStyle w:val="168"/>
        <w:snapToGrid w:val="0"/>
        <w:ind w:firstLine="0"/>
        <w:jc w:val="center"/>
        <w:rPr>
          <w:rStyle w:val="32"/>
          <w:rFonts w:ascii="Times New Roman" w:hAnsi="Times New Roman" w:cs="Times New Roman"/>
          <w:b/>
          <w:bCs/>
          <w:color w:val="auto"/>
          <w:sz w:val="36"/>
          <w:szCs w:val="44"/>
          <w:highlight w:val="none"/>
        </w:rPr>
      </w:pPr>
      <w:r>
        <w:rPr>
          <w:rStyle w:val="32"/>
          <w:rFonts w:hint="eastAsia" w:ascii="Times New Roman" w:hAnsi="Times New Roman" w:cs="Times New Roman"/>
          <w:b/>
          <w:bCs/>
          <w:color w:val="auto"/>
          <w:sz w:val="36"/>
          <w:szCs w:val="44"/>
          <w:highlight w:val="none"/>
          <w:lang w:eastAsia="zh-CN"/>
        </w:rPr>
        <w:t>如皋市交通产业集团有限公司</w:t>
      </w:r>
      <w:r>
        <w:rPr>
          <w:rStyle w:val="32"/>
          <w:rFonts w:ascii="Times New Roman" w:hAnsi="Times New Roman" w:cs="Times New Roman"/>
          <w:b/>
          <w:bCs/>
          <w:color w:val="auto"/>
          <w:sz w:val="36"/>
          <w:szCs w:val="44"/>
          <w:highlight w:val="none"/>
        </w:rPr>
        <w:t>施工类</w:t>
      </w:r>
    </w:p>
    <w:p>
      <w:pPr>
        <w:pStyle w:val="168"/>
        <w:snapToGrid w:val="0"/>
        <w:ind w:firstLine="0"/>
        <w:jc w:val="center"/>
        <w:rPr>
          <w:rStyle w:val="32"/>
          <w:rFonts w:ascii="Times New Roman" w:hAnsi="Times New Roman" w:cs="Times New Roman"/>
          <w:b/>
          <w:bCs/>
          <w:color w:val="auto"/>
          <w:sz w:val="36"/>
          <w:szCs w:val="44"/>
          <w:highlight w:val="none"/>
        </w:rPr>
      </w:pPr>
      <w:r>
        <w:rPr>
          <w:rStyle w:val="32"/>
          <w:rFonts w:ascii="Times New Roman" w:hAnsi="Times New Roman" w:cs="Times New Roman"/>
          <w:b/>
          <w:bCs/>
          <w:color w:val="auto"/>
          <w:sz w:val="36"/>
          <w:szCs w:val="44"/>
          <w:highlight w:val="none"/>
        </w:rPr>
        <w:t>预选入库项目招标</w:t>
      </w:r>
    </w:p>
    <w:p>
      <w:pPr>
        <w:pStyle w:val="168"/>
        <w:snapToGrid w:val="0"/>
        <w:ind w:firstLine="0"/>
        <w:jc w:val="center"/>
        <w:rPr>
          <w:rStyle w:val="32"/>
          <w:rFonts w:ascii="Times New Roman" w:hAnsi="Times New Roman" w:eastAsia="黑体" w:cs="Times New Roman"/>
          <w:b/>
          <w:bCs/>
          <w:color w:val="auto"/>
          <w:sz w:val="56"/>
          <w:highlight w:val="none"/>
        </w:rPr>
      </w:pPr>
    </w:p>
    <w:p>
      <w:pPr>
        <w:pStyle w:val="168"/>
        <w:snapToGrid w:val="0"/>
        <w:ind w:firstLine="0"/>
        <w:jc w:val="center"/>
        <w:rPr>
          <w:rStyle w:val="32"/>
          <w:rFonts w:ascii="Times New Roman" w:hAnsi="Times New Roman" w:eastAsia="黑体" w:cs="Times New Roman"/>
          <w:b/>
          <w:bCs/>
          <w:color w:val="auto"/>
          <w:sz w:val="56"/>
          <w:highlight w:val="none"/>
        </w:rPr>
      </w:pPr>
    </w:p>
    <w:p>
      <w:pPr>
        <w:pStyle w:val="168"/>
        <w:snapToGrid w:val="0"/>
        <w:ind w:firstLine="0"/>
        <w:jc w:val="center"/>
        <w:rPr>
          <w:rStyle w:val="32"/>
          <w:rFonts w:ascii="Times New Roman" w:hAnsi="Times New Roman" w:eastAsia="黑体" w:cs="Times New Roman"/>
          <w:b/>
          <w:bCs/>
          <w:color w:val="auto"/>
          <w:sz w:val="56"/>
          <w:highlight w:val="none"/>
        </w:rPr>
      </w:pPr>
      <w:r>
        <w:rPr>
          <w:rStyle w:val="32"/>
          <w:rFonts w:ascii="Times New Roman" w:hAnsi="Times New Roman" w:eastAsia="黑体" w:cs="Times New Roman"/>
          <w:b/>
          <w:bCs/>
          <w:color w:val="auto"/>
          <w:sz w:val="56"/>
          <w:highlight w:val="none"/>
        </w:rPr>
        <w:t>招 标 文 件</w:t>
      </w:r>
    </w:p>
    <w:p>
      <w:pPr>
        <w:pStyle w:val="168"/>
        <w:snapToGrid w:val="0"/>
        <w:ind w:firstLine="0"/>
        <w:jc w:val="center"/>
        <w:rPr>
          <w:rStyle w:val="32"/>
          <w:rFonts w:ascii="Times New Roman" w:hAnsi="Times New Roman" w:eastAsia="黑体" w:cs="Times New Roman"/>
          <w:b/>
          <w:bCs/>
          <w:color w:val="auto"/>
          <w:sz w:val="84"/>
          <w:highlight w:val="none"/>
        </w:rPr>
      </w:pPr>
      <w:r>
        <w:rPr>
          <w:rStyle w:val="32"/>
          <w:rFonts w:ascii="Times New Roman" w:hAnsi="Times New Roman" w:eastAsia="黑体" w:cs="Times New Roman"/>
          <w:b/>
          <w:bCs/>
          <w:color w:val="auto"/>
          <w:sz w:val="56"/>
          <w:highlight w:val="none"/>
        </w:rPr>
        <w:t>（资格后审）</w:t>
      </w:r>
    </w:p>
    <w:p>
      <w:pPr>
        <w:pStyle w:val="168"/>
        <w:snapToGrid w:val="0"/>
        <w:ind w:firstLine="2731" w:firstLineChars="850"/>
        <w:rPr>
          <w:rStyle w:val="32"/>
          <w:rFonts w:ascii="Times New Roman" w:hAnsi="Times New Roman" w:cs="Times New Roman"/>
          <w:b/>
          <w:bCs/>
          <w:color w:val="auto"/>
          <w:sz w:val="32"/>
          <w:highlight w:val="none"/>
          <w:u w:val="single"/>
        </w:rPr>
      </w:pPr>
    </w:p>
    <w:p>
      <w:pPr>
        <w:pStyle w:val="168"/>
        <w:snapToGrid w:val="0"/>
        <w:spacing w:before="0" w:after="0"/>
        <w:ind w:firstLine="0"/>
        <w:rPr>
          <w:rStyle w:val="32"/>
          <w:rFonts w:ascii="Times New Roman" w:hAnsi="Times New Roman" w:cs="Times New Roman"/>
          <w:color w:val="auto"/>
          <w:highlight w:val="none"/>
        </w:rPr>
      </w:pPr>
      <w:r>
        <w:rPr>
          <w:rStyle w:val="32"/>
          <w:rFonts w:ascii="Times New Roman" w:hAnsi="Times New Roman" w:cs="Times New Roman"/>
          <w:color w:val="auto"/>
          <w:highlight w:val="none"/>
        </w:rPr>
        <w:t xml:space="preserve">                            </w:t>
      </w:r>
    </w:p>
    <w:p>
      <w:pPr>
        <w:pStyle w:val="168"/>
        <w:snapToGrid w:val="0"/>
        <w:spacing w:before="0" w:after="0"/>
        <w:ind w:firstLine="0"/>
        <w:rPr>
          <w:rStyle w:val="32"/>
          <w:rFonts w:ascii="Times New Roman" w:hAnsi="Times New Roman" w:cs="Times New Roman"/>
          <w:color w:val="auto"/>
          <w:highlight w:val="none"/>
        </w:rPr>
      </w:pPr>
    </w:p>
    <w:p>
      <w:pPr>
        <w:pStyle w:val="168"/>
        <w:snapToGrid w:val="0"/>
        <w:spacing w:before="0" w:after="0"/>
        <w:ind w:firstLine="0"/>
        <w:rPr>
          <w:rStyle w:val="32"/>
          <w:rFonts w:ascii="Times New Roman" w:hAnsi="Times New Roman" w:cs="Times New Roman"/>
          <w:color w:val="auto"/>
          <w:highlight w:val="none"/>
        </w:rPr>
      </w:pPr>
    </w:p>
    <w:p>
      <w:pPr>
        <w:pStyle w:val="168"/>
        <w:snapToGrid w:val="0"/>
        <w:spacing w:before="0" w:after="0"/>
        <w:ind w:firstLine="0"/>
        <w:rPr>
          <w:rStyle w:val="32"/>
          <w:rFonts w:ascii="Times New Roman" w:hAnsi="Times New Roman" w:cs="Times New Roman"/>
          <w:color w:val="auto"/>
          <w:highlight w:val="none"/>
        </w:rPr>
      </w:pPr>
    </w:p>
    <w:p>
      <w:pPr>
        <w:pStyle w:val="168"/>
        <w:snapToGrid w:val="0"/>
        <w:spacing w:before="0" w:after="0"/>
        <w:ind w:firstLine="0"/>
        <w:rPr>
          <w:rStyle w:val="32"/>
          <w:rFonts w:ascii="Times New Roman" w:hAnsi="Times New Roman" w:cs="Times New Roman"/>
          <w:color w:val="auto"/>
          <w:highlight w:val="none"/>
        </w:rPr>
      </w:pPr>
    </w:p>
    <w:p>
      <w:pPr>
        <w:pStyle w:val="168"/>
        <w:snapToGrid w:val="0"/>
        <w:spacing w:before="0" w:after="0"/>
        <w:ind w:firstLine="0"/>
        <w:rPr>
          <w:rStyle w:val="32"/>
          <w:rFonts w:ascii="Times New Roman" w:hAnsi="Times New Roman" w:cs="Times New Roman"/>
          <w:color w:val="auto"/>
          <w:highlight w:val="none"/>
        </w:rPr>
      </w:pPr>
    </w:p>
    <w:p>
      <w:pPr>
        <w:pStyle w:val="168"/>
        <w:snapToGrid w:val="0"/>
        <w:spacing w:before="0" w:after="0"/>
        <w:ind w:firstLine="0"/>
        <w:rPr>
          <w:rStyle w:val="32"/>
          <w:rFonts w:ascii="Times New Roman" w:hAnsi="Times New Roman" w:cs="Times New Roman"/>
          <w:color w:val="auto"/>
          <w:highlight w:val="none"/>
        </w:rPr>
      </w:pPr>
    </w:p>
    <w:p>
      <w:pPr>
        <w:snapToGrid w:val="0"/>
        <w:spacing w:line="360" w:lineRule="auto"/>
        <w:ind w:firstLine="1405" w:firstLineChars="500"/>
        <w:rPr>
          <w:rStyle w:val="32"/>
          <w:rFonts w:hint="eastAsia" w:eastAsia="宋体" w:cs="Times New Roman"/>
          <w:b/>
          <w:color w:val="auto"/>
          <w:sz w:val="28"/>
          <w:szCs w:val="30"/>
          <w:highlight w:val="none"/>
          <w:lang w:eastAsia="zh-CN"/>
        </w:rPr>
      </w:pPr>
      <w:r>
        <w:rPr>
          <w:rStyle w:val="32"/>
          <w:rFonts w:cs="Times New Roman"/>
          <w:b/>
          <w:color w:val="auto"/>
          <w:sz w:val="28"/>
          <w:szCs w:val="30"/>
          <w:highlight w:val="none"/>
        </w:rPr>
        <w:t>采购单位：</w:t>
      </w:r>
      <w:r>
        <w:rPr>
          <w:rStyle w:val="32"/>
          <w:rFonts w:hint="eastAsia" w:cs="Times New Roman"/>
          <w:b/>
          <w:color w:val="auto"/>
          <w:kern w:val="0"/>
          <w:sz w:val="28"/>
          <w:szCs w:val="30"/>
          <w:highlight w:val="none"/>
          <w:u w:val="single" w:color="000000"/>
          <w:lang w:eastAsia="zh-CN"/>
        </w:rPr>
        <w:t>如皋市交通产业集团有限公司</w:t>
      </w:r>
    </w:p>
    <w:p>
      <w:pPr>
        <w:snapToGrid w:val="0"/>
        <w:spacing w:line="360" w:lineRule="auto"/>
        <w:ind w:firstLine="1405" w:firstLineChars="500"/>
        <w:rPr>
          <w:rStyle w:val="32"/>
          <w:rFonts w:cs="Times New Roman"/>
          <w:b/>
          <w:color w:val="auto"/>
          <w:sz w:val="28"/>
          <w:szCs w:val="30"/>
          <w:highlight w:val="none"/>
        </w:rPr>
      </w:pPr>
      <w:r>
        <w:rPr>
          <w:rStyle w:val="32"/>
          <w:rFonts w:cs="Times New Roman"/>
          <w:b/>
          <w:color w:val="auto"/>
          <w:sz w:val="28"/>
          <w:szCs w:val="30"/>
          <w:highlight w:val="none"/>
        </w:rPr>
        <w:t>代理机构：</w:t>
      </w:r>
      <w:r>
        <w:rPr>
          <w:rStyle w:val="32"/>
          <w:rFonts w:cs="Times New Roman"/>
          <w:b/>
          <w:color w:val="auto"/>
          <w:kern w:val="0"/>
          <w:sz w:val="28"/>
          <w:szCs w:val="30"/>
          <w:highlight w:val="none"/>
          <w:u w:val="single" w:color="000000"/>
        </w:rPr>
        <w:t>捷宏润安工程顾问有限公司</w:t>
      </w:r>
    </w:p>
    <w:p>
      <w:pPr>
        <w:pStyle w:val="168"/>
        <w:snapToGrid w:val="0"/>
        <w:spacing w:before="0" w:after="0"/>
        <w:ind w:firstLine="1405" w:firstLineChars="500"/>
        <w:rPr>
          <w:rStyle w:val="32"/>
          <w:rFonts w:ascii="Times New Roman" w:hAnsi="Times New Roman" w:cs="Times New Roman"/>
          <w:b/>
          <w:color w:val="auto"/>
          <w:kern w:val="2"/>
          <w:sz w:val="28"/>
          <w:szCs w:val="30"/>
          <w:highlight w:val="none"/>
          <w:u w:val="single"/>
        </w:rPr>
      </w:pPr>
      <w:r>
        <w:rPr>
          <w:rStyle w:val="32"/>
          <w:rFonts w:ascii="Times New Roman" w:hAnsi="Times New Roman" w:cs="Times New Roman"/>
          <w:b/>
          <w:color w:val="auto"/>
          <w:kern w:val="2"/>
          <w:sz w:val="28"/>
          <w:szCs w:val="30"/>
          <w:highlight w:val="none"/>
        </w:rPr>
        <w:t>日    期：</w:t>
      </w:r>
      <w:r>
        <w:rPr>
          <w:rStyle w:val="32"/>
          <w:rFonts w:ascii="Times New Roman" w:hAnsi="Times New Roman" w:cs="Times New Roman"/>
          <w:b/>
          <w:color w:val="auto"/>
          <w:kern w:val="2"/>
          <w:sz w:val="28"/>
          <w:szCs w:val="30"/>
          <w:highlight w:val="none"/>
          <w:u w:val="single"/>
        </w:rPr>
        <w:t>2021年1</w:t>
      </w:r>
      <w:r>
        <w:rPr>
          <w:rStyle w:val="32"/>
          <w:rFonts w:hint="eastAsia" w:ascii="Times New Roman" w:hAnsi="Times New Roman" w:cs="Times New Roman"/>
          <w:b/>
          <w:color w:val="auto"/>
          <w:kern w:val="2"/>
          <w:sz w:val="28"/>
          <w:szCs w:val="30"/>
          <w:highlight w:val="none"/>
          <w:u w:val="single"/>
          <w:lang w:val="en-US" w:eastAsia="zh-CN"/>
        </w:rPr>
        <w:t>1</w:t>
      </w:r>
      <w:r>
        <w:rPr>
          <w:rStyle w:val="32"/>
          <w:rFonts w:ascii="Times New Roman" w:hAnsi="Times New Roman" w:cs="Times New Roman"/>
          <w:b/>
          <w:color w:val="auto"/>
          <w:kern w:val="2"/>
          <w:sz w:val="28"/>
          <w:szCs w:val="30"/>
          <w:highlight w:val="none"/>
          <w:u w:val="single"/>
        </w:rPr>
        <w:t>月</w:t>
      </w:r>
      <w:r>
        <w:rPr>
          <w:rStyle w:val="32"/>
          <w:rFonts w:ascii="Times New Roman" w:hAnsi="Times New Roman" w:cs="Times New Roman"/>
          <w:b/>
          <w:color w:val="auto"/>
          <w:kern w:val="2"/>
          <w:sz w:val="28"/>
          <w:szCs w:val="30"/>
          <w:highlight w:val="none"/>
        </w:rPr>
        <w:t xml:space="preserve">  </w:t>
      </w:r>
    </w:p>
    <w:p>
      <w:pPr>
        <w:snapToGrid w:val="0"/>
        <w:spacing w:line="480" w:lineRule="auto"/>
        <w:jc w:val="center"/>
        <w:rPr>
          <w:rStyle w:val="32"/>
          <w:rFonts w:cs="Times New Roman"/>
          <w:color w:val="auto"/>
          <w:sz w:val="20"/>
          <w:highlight w:val="none"/>
        </w:rPr>
      </w:pPr>
    </w:p>
    <w:p>
      <w:pPr>
        <w:pStyle w:val="2"/>
        <w:rPr>
          <w:rFonts w:ascii="Times New Roman" w:cs="Times New Roman"/>
          <w:color w:val="auto"/>
          <w:highlight w:val="none"/>
        </w:rPr>
      </w:pPr>
    </w:p>
    <w:p>
      <w:pPr>
        <w:snapToGrid w:val="0"/>
        <w:spacing w:line="480" w:lineRule="auto"/>
        <w:jc w:val="center"/>
        <w:rPr>
          <w:rStyle w:val="32"/>
          <w:rFonts w:eastAsia="黑体" w:cs="Times New Roman"/>
          <w:b/>
          <w:color w:val="auto"/>
          <w:sz w:val="36"/>
          <w:highlight w:val="none"/>
        </w:rPr>
      </w:pPr>
      <w:r>
        <w:rPr>
          <w:rStyle w:val="32"/>
          <w:rFonts w:eastAsia="黑体" w:cs="Times New Roman"/>
          <w:b/>
          <w:color w:val="auto"/>
          <w:sz w:val="36"/>
          <w:highlight w:val="none"/>
        </w:rPr>
        <w:t>目  录</w:t>
      </w:r>
    </w:p>
    <w:p>
      <w:pPr>
        <w:numPr>
          <w:ilvl w:val="0"/>
          <w:numId w:val="4"/>
        </w:numPr>
        <w:tabs>
          <w:tab w:val="left" w:pos="1701"/>
          <w:tab w:val="clear" w:pos="1440"/>
        </w:tabs>
        <w:snapToGrid w:val="0"/>
        <w:spacing w:line="480" w:lineRule="auto"/>
        <w:ind w:hanging="873"/>
        <w:rPr>
          <w:rStyle w:val="32"/>
          <w:rFonts w:eastAsia="黑体" w:cs="Times New Roman"/>
          <w:color w:val="auto"/>
          <w:sz w:val="24"/>
          <w:highlight w:val="none"/>
        </w:rPr>
      </w:pPr>
      <w:r>
        <w:rPr>
          <w:rStyle w:val="32"/>
          <w:rFonts w:eastAsia="黑体" w:cs="Times New Roman"/>
          <w:color w:val="auto"/>
          <w:sz w:val="28"/>
          <w:highlight w:val="none"/>
        </w:rPr>
        <w:t>招标公告</w:t>
      </w:r>
    </w:p>
    <w:p>
      <w:pPr>
        <w:numPr>
          <w:ilvl w:val="0"/>
          <w:numId w:val="4"/>
        </w:numPr>
        <w:tabs>
          <w:tab w:val="left" w:pos="1701"/>
          <w:tab w:val="clear" w:pos="1440"/>
        </w:tabs>
        <w:snapToGrid w:val="0"/>
        <w:spacing w:line="480" w:lineRule="auto"/>
        <w:ind w:hanging="873"/>
        <w:rPr>
          <w:rStyle w:val="32"/>
          <w:rFonts w:eastAsia="黑体" w:cs="Times New Roman"/>
          <w:color w:val="auto"/>
          <w:sz w:val="28"/>
          <w:highlight w:val="none"/>
        </w:rPr>
      </w:pPr>
      <w:r>
        <w:rPr>
          <w:rStyle w:val="32"/>
          <w:rFonts w:eastAsia="黑体" w:cs="Times New Roman"/>
          <w:bCs/>
          <w:color w:val="auto"/>
          <w:sz w:val="28"/>
          <w:szCs w:val="36"/>
          <w:highlight w:val="none"/>
        </w:rPr>
        <w:t>投标须知</w:t>
      </w:r>
      <w:r>
        <w:rPr>
          <w:rStyle w:val="32"/>
          <w:rFonts w:eastAsia="黑体" w:cs="Times New Roman"/>
          <w:color w:val="auto"/>
          <w:sz w:val="28"/>
          <w:highlight w:val="none"/>
        </w:rPr>
        <w:t xml:space="preserve"> </w:t>
      </w:r>
    </w:p>
    <w:p>
      <w:pPr>
        <w:numPr>
          <w:ilvl w:val="0"/>
          <w:numId w:val="4"/>
        </w:numPr>
        <w:tabs>
          <w:tab w:val="left" w:pos="1701"/>
          <w:tab w:val="clear" w:pos="1440"/>
        </w:tabs>
        <w:snapToGrid w:val="0"/>
        <w:spacing w:line="480" w:lineRule="auto"/>
        <w:ind w:hanging="873"/>
        <w:rPr>
          <w:rStyle w:val="32"/>
          <w:rFonts w:eastAsia="黑体" w:cs="Times New Roman"/>
          <w:color w:val="auto"/>
          <w:sz w:val="28"/>
          <w:highlight w:val="none"/>
        </w:rPr>
      </w:pPr>
      <w:r>
        <w:rPr>
          <w:rStyle w:val="32"/>
          <w:rFonts w:eastAsia="黑体" w:cs="Times New Roman"/>
          <w:color w:val="auto"/>
          <w:sz w:val="28"/>
          <w:highlight w:val="none"/>
        </w:rPr>
        <w:t>技术要求</w:t>
      </w:r>
    </w:p>
    <w:p>
      <w:pPr>
        <w:numPr>
          <w:ilvl w:val="0"/>
          <w:numId w:val="4"/>
        </w:numPr>
        <w:tabs>
          <w:tab w:val="left" w:pos="1701"/>
          <w:tab w:val="clear" w:pos="1440"/>
        </w:tabs>
        <w:snapToGrid w:val="0"/>
        <w:spacing w:line="480" w:lineRule="auto"/>
        <w:ind w:hanging="873"/>
        <w:rPr>
          <w:rStyle w:val="32"/>
          <w:rFonts w:eastAsia="黑体" w:cs="Times New Roman"/>
          <w:color w:val="auto"/>
          <w:sz w:val="28"/>
          <w:highlight w:val="none"/>
        </w:rPr>
      </w:pPr>
      <w:r>
        <w:rPr>
          <w:rStyle w:val="32"/>
          <w:rFonts w:eastAsia="黑体" w:cs="Times New Roman"/>
          <w:color w:val="auto"/>
          <w:sz w:val="28"/>
          <w:highlight w:val="none"/>
        </w:rPr>
        <w:t>开标和评标</w:t>
      </w:r>
    </w:p>
    <w:p>
      <w:pPr>
        <w:numPr>
          <w:ilvl w:val="0"/>
          <w:numId w:val="4"/>
        </w:numPr>
        <w:tabs>
          <w:tab w:val="left" w:pos="1701"/>
          <w:tab w:val="clear" w:pos="1440"/>
        </w:tabs>
        <w:snapToGrid w:val="0"/>
        <w:spacing w:line="480" w:lineRule="auto"/>
        <w:ind w:hanging="873"/>
        <w:rPr>
          <w:rStyle w:val="32"/>
          <w:rFonts w:eastAsia="黑体" w:cs="Times New Roman"/>
          <w:color w:val="auto"/>
          <w:sz w:val="28"/>
          <w:highlight w:val="none"/>
        </w:rPr>
      </w:pPr>
      <w:r>
        <w:rPr>
          <w:rStyle w:val="32"/>
          <w:rFonts w:eastAsia="黑体" w:cs="Times New Roman"/>
          <w:bCs/>
          <w:color w:val="auto"/>
          <w:sz w:val="28"/>
          <w:szCs w:val="36"/>
          <w:highlight w:val="none"/>
        </w:rPr>
        <w:t>合同签订与验收付款</w:t>
      </w:r>
    </w:p>
    <w:p>
      <w:pPr>
        <w:numPr>
          <w:ilvl w:val="0"/>
          <w:numId w:val="4"/>
        </w:numPr>
        <w:tabs>
          <w:tab w:val="left" w:pos="1701"/>
          <w:tab w:val="clear" w:pos="1440"/>
        </w:tabs>
        <w:snapToGrid w:val="0"/>
        <w:spacing w:line="480" w:lineRule="auto"/>
        <w:ind w:hanging="873"/>
        <w:rPr>
          <w:rStyle w:val="32"/>
          <w:rFonts w:eastAsia="黑体" w:cs="Times New Roman"/>
          <w:color w:val="auto"/>
          <w:sz w:val="28"/>
          <w:highlight w:val="none"/>
        </w:rPr>
      </w:pPr>
      <w:r>
        <w:rPr>
          <w:rStyle w:val="32"/>
          <w:rFonts w:eastAsia="黑体" w:cs="Times New Roman"/>
          <w:color w:val="auto"/>
          <w:sz w:val="28"/>
          <w:highlight w:val="none"/>
        </w:rPr>
        <w:t>质疑提出和处理</w:t>
      </w:r>
    </w:p>
    <w:p>
      <w:pPr>
        <w:numPr>
          <w:ilvl w:val="0"/>
          <w:numId w:val="4"/>
        </w:numPr>
        <w:tabs>
          <w:tab w:val="left" w:pos="1701"/>
          <w:tab w:val="clear" w:pos="1440"/>
        </w:tabs>
        <w:snapToGrid w:val="0"/>
        <w:spacing w:line="480" w:lineRule="auto"/>
        <w:ind w:hanging="873"/>
        <w:rPr>
          <w:rStyle w:val="32"/>
          <w:rFonts w:eastAsia="黑体" w:cs="Times New Roman"/>
          <w:color w:val="auto"/>
          <w:sz w:val="28"/>
          <w:highlight w:val="none"/>
        </w:rPr>
      </w:pPr>
      <w:r>
        <w:rPr>
          <w:rStyle w:val="32"/>
          <w:rFonts w:eastAsia="黑体" w:cs="Times New Roman"/>
          <w:color w:val="auto"/>
          <w:sz w:val="28"/>
          <w:highlight w:val="none"/>
        </w:rPr>
        <w:t>投标文件组成</w:t>
      </w:r>
    </w:p>
    <w:p>
      <w:pPr>
        <w:pStyle w:val="22"/>
        <w:snapToGrid w:val="0"/>
        <w:rPr>
          <w:rStyle w:val="32"/>
          <w:rFonts w:ascii="Times New Roman" w:eastAsia="黑体" w:cs="Times New Roman"/>
          <w:bCs/>
          <w:color w:val="auto"/>
          <w:sz w:val="44"/>
          <w:highlight w:val="none"/>
        </w:rPr>
      </w:pPr>
    </w:p>
    <w:p>
      <w:pPr>
        <w:pStyle w:val="22"/>
        <w:snapToGrid w:val="0"/>
        <w:rPr>
          <w:rStyle w:val="32"/>
          <w:rFonts w:ascii="Times New Roman" w:eastAsia="黑体" w:cs="Times New Roman"/>
          <w:bCs/>
          <w:color w:val="auto"/>
          <w:sz w:val="44"/>
          <w:highlight w:val="none"/>
        </w:rPr>
      </w:pPr>
    </w:p>
    <w:p>
      <w:pPr>
        <w:snapToGrid w:val="0"/>
        <w:rPr>
          <w:rStyle w:val="32"/>
          <w:rFonts w:cs="Times New Roman"/>
          <w:color w:val="auto"/>
          <w:sz w:val="20"/>
          <w:highlight w:val="none"/>
        </w:rPr>
      </w:pPr>
    </w:p>
    <w:p>
      <w:pPr>
        <w:snapToGrid w:val="0"/>
        <w:rPr>
          <w:rStyle w:val="32"/>
          <w:rFonts w:cs="Times New Roman"/>
          <w:color w:val="auto"/>
          <w:sz w:val="20"/>
          <w:highlight w:val="none"/>
        </w:rPr>
      </w:pPr>
    </w:p>
    <w:p>
      <w:pPr>
        <w:snapToGrid w:val="0"/>
        <w:rPr>
          <w:rStyle w:val="32"/>
          <w:rFonts w:cs="Times New Roman"/>
          <w:color w:val="auto"/>
          <w:sz w:val="20"/>
          <w:highlight w:val="none"/>
        </w:rPr>
      </w:pPr>
    </w:p>
    <w:p>
      <w:pPr>
        <w:snapToGrid w:val="0"/>
        <w:rPr>
          <w:rStyle w:val="32"/>
          <w:rFonts w:cs="Times New Roman"/>
          <w:color w:val="auto"/>
          <w:sz w:val="20"/>
          <w:highlight w:val="none"/>
        </w:rPr>
      </w:pPr>
    </w:p>
    <w:p>
      <w:pPr>
        <w:snapToGrid w:val="0"/>
        <w:rPr>
          <w:rStyle w:val="32"/>
          <w:rFonts w:cs="Times New Roman"/>
          <w:color w:val="auto"/>
          <w:sz w:val="20"/>
          <w:highlight w:val="none"/>
        </w:rPr>
      </w:pPr>
    </w:p>
    <w:p>
      <w:pPr>
        <w:snapToGrid w:val="0"/>
        <w:rPr>
          <w:rStyle w:val="32"/>
          <w:rFonts w:cs="Times New Roman"/>
          <w:color w:val="auto"/>
          <w:sz w:val="20"/>
          <w:highlight w:val="none"/>
        </w:rPr>
      </w:pPr>
    </w:p>
    <w:p>
      <w:pPr>
        <w:snapToGrid w:val="0"/>
        <w:spacing w:line="500" w:lineRule="exact"/>
        <w:rPr>
          <w:rStyle w:val="32"/>
          <w:rFonts w:eastAsia="仿宋_GB2312" w:cs="Times New Roman"/>
          <w:color w:val="auto"/>
          <w:sz w:val="44"/>
          <w:szCs w:val="44"/>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snapToGrid w:val="0"/>
        <w:spacing w:line="360" w:lineRule="auto"/>
        <w:jc w:val="center"/>
        <w:rPr>
          <w:rStyle w:val="32"/>
          <w:rFonts w:cs="Times New Roman"/>
          <w:color w:val="auto"/>
          <w:spacing w:val="32"/>
          <w:sz w:val="44"/>
          <w:highlight w:val="none"/>
        </w:rPr>
      </w:pPr>
      <w:r>
        <w:rPr>
          <w:rStyle w:val="32"/>
          <w:rFonts w:cs="Times New Roman"/>
          <w:color w:val="auto"/>
          <w:spacing w:val="32"/>
          <w:sz w:val="44"/>
          <w:highlight w:val="none"/>
        </w:rPr>
        <w:t>招标文件备案表</w:t>
      </w:r>
    </w:p>
    <w:tbl>
      <w:tblPr>
        <w:tblStyle w:val="13"/>
        <w:tblW w:w="8790"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27" w:hRule="atLeast"/>
        </w:trPr>
        <w:tc>
          <w:tcPr>
            <w:tcW w:w="8790" w:type="dxa"/>
            <w:tcBorders>
              <w:top w:val="single" w:color="000000" w:sz="4" w:space="0"/>
              <w:left w:val="single" w:color="000000" w:sz="4" w:space="0"/>
              <w:bottom w:val="single" w:color="000000" w:sz="4" w:space="0"/>
              <w:right w:val="single" w:color="000000" w:sz="4" w:space="0"/>
            </w:tcBorders>
          </w:tcPr>
          <w:p>
            <w:pPr>
              <w:snapToGrid w:val="0"/>
              <w:rPr>
                <w:rStyle w:val="32"/>
                <w:rFonts w:cs="Times New Roman"/>
                <w:color w:val="auto"/>
                <w:sz w:val="28"/>
                <w:highlight w:val="none"/>
              </w:rPr>
            </w:pPr>
          </w:p>
          <w:p>
            <w:pPr>
              <w:snapToGrid w:val="0"/>
              <w:jc w:val="center"/>
              <w:rPr>
                <w:rStyle w:val="32"/>
                <w:rFonts w:cs="Times New Roman"/>
                <w:color w:val="auto"/>
                <w:sz w:val="28"/>
                <w:highlight w:val="none"/>
              </w:rPr>
            </w:pPr>
          </w:p>
          <w:p>
            <w:pPr>
              <w:snapToGrid w:val="0"/>
              <w:rPr>
                <w:rStyle w:val="32"/>
                <w:rFonts w:cs="Times New Roman"/>
                <w:color w:val="auto"/>
                <w:sz w:val="28"/>
                <w:highlight w:val="none"/>
              </w:rPr>
            </w:pPr>
          </w:p>
          <w:p>
            <w:pPr>
              <w:snapToGrid w:val="0"/>
              <w:ind w:firstLine="3012" w:firstLineChars="1076"/>
              <w:rPr>
                <w:rStyle w:val="32"/>
                <w:rFonts w:cs="Times New Roman"/>
                <w:color w:val="auto"/>
                <w:sz w:val="28"/>
                <w:highlight w:val="none"/>
              </w:rPr>
            </w:pPr>
            <w:r>
              <w:rPr>
                <w:rStyle w:val="32"/>
                <w:rFonts w:cs="Times New Roman"/>
                <w:color w:val="auto"/>
                <w:sz w:val="28"/>
                <w:highlight w:val="none"/>
              </w:rPr>
              <w:t>编制人：</w:t>
            </w:r>
          </w:p>
          <w:p>
            <w:pPr>
              <w:snapToGrid w:val="0"/>
              <w:ind w:firstLine="4480" w:firstLineChars="1600"/>
              <w:rPr>
                <w:rStyle w:val="32"/>
                <w:rFonts w:cs="Times New Roman"/>
                <w:color w:val="auto"/>
                <w:sz w:val="28"/>
                <w:highlight w:val="none"/>
              </w:rPr>
            </w:pPr>
          </w:p>
          <w:p>
            <w:pPr>
              <w:tabs>
                <w:tab w:val="left" w:pos="3492"/>
              </w:tabs>
              <w:snapToGrid w:val="0"/>
              <w:ind w:firstLine="2520" w:firstLineChars="900"/>
              <w:rPr>
                <w:rStyle w:val="32"/>
                <w:rFonts w:cs="Times New Roman"/>
                <w:color w:val="auto"/>
                <w:sz w:val="28"/>
                <w:highlight w:val="none"/>
              </w:rPr>
            </w:pPr>
            <w:r>
              <w:rPr>
                <w:rStyle w:val="32"/>
                <w:rFonts w:cs="Times New Roman"/>
                <w:color w:val="auto"/>
                <w:sz w:val="28"/>
                <w:highlight w:val="none"/>
              </w:rPr>
              <w:t>日  期：2021年1</w:t>
            </w:r>
            <w:r>
              <w:rPr>
                <w:rStyle w:val="32"/>
                <w:rFonts w:hint="eastAsia" w:cs="Times New Roman"/>
                <w:color w:val="auto"/>
                <w:sz w:val="28"/>
                <w:highlight w:val="none"/>
                <w:lang w:val="en-US" w:eastAsia="zh-CN"/>
              </w:rPr>
              <w:t>1</w:t>
            </w:r>
            <w:r>
              <w:rPr>
                <w:rStyle w:val="32"/>
                <w:rFonts w:cs="Times New Roman"/>
                <w:color w:val="auto"/>
                <w:sz w:val="28"/>
                <w:highlight w:val="none"/>
              </w:rPr>
              <w:t>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29" w:hRule="atLeast"/>
        </w:trPr>
        <w:tc>
          <w:tcPr>
            <w:tcW w:w="8790" w:type="dxa"/>
            <w:tcBorders>
              <w:top w:val="single" w:color="000000" w:sz="4" w:space="0"/>
              <w:left w:val="single" w:color="000000" w:sz="4" w:space="0"/>
              <w:bottom w:val="single" w:color="000000" w:sz="4" w:space="0"/>
              <w:right w:val="single" w:color="000000" w:sz="4" w:space="0"/>
            </w:tcBorders>
          </w:tcPr>
          <w:p>
            <w:pPr>
              <w:snapToGrid w:val="0"/>
              <w:rPr>
                <w:rStyle w:val="32"/>
                <w:rFonts w:cs="Times New Roman"/>
                <w:color w:val="auto"/>
                <w:sz w:val="28"/>
                <w:highlight w:val="none"/>
              </w:rPr>
            </w:pPr>
          </w:p>
          <w:p>
            <w:pPr>
              <w:snapToGrid w:val="0"/>
              <w:rPr>
                <w:rStyle w:val="32"/>
                <w:rFonts w:cs="Times New Roman"/>
                <w:color w:val="auto"/>
                <w:sz w:val="28"/>
                <w:highlight w:val="none"/>
              </w:rPr>
            </w:pPr>
          </w:p>
          <w:p>
            <w:pPr>
              <w:snapToGrid w:val="0"/>
              <w:rPr>
                <w:rStyle w:val="32"/>
                <w:rFonts w:cs="Times New Roman"/>
                <w:color w:val="auto"/>
                <w:sz w:val="28"/>
                <w:highlight w:val="none"/>
              </w:rPr>
            </w:pPr>
          </w:p>
          <w:p>
            <w:pPr>
              <w:snapToGrid w:val="0"/>
              <w:ind w:firstLine="280" w:firstLineChars="100"/>
              <w:rPr>
                <w:rStyle w:val="32"/>
                <w:rFonts w:cs="Times New Roman"/>
                <w:color w:val="auto"/>
                <w:sz w:val="28"/>
                <w:highlight w:val="none"/>
              </w:rPr>
            </w:pPr>
            <w:r>
              <w:rPr>
                <w:rStyle w:val="32"/>
                <w:rFonts w:cs="Times New Roman"/>
                <w:color w:val="auto"/>
                <w:sz w:val="28"/>
                <w:highlight w:val="none"/>
              </w:rPr>
              <w:t>招标人（盖章）              法定代表人（签字或盖章）</w:t>
            </w:r>
          </w:p>
          <w:p>
            <w:pPr>
              <w:snapToGrid w:val="0"/>
              <w:rPr>
                <w:rStyle w:val="32"/>
                <w:rFonts w:cs="Times New Roman"/>
                <w:color w:val="auto"/>
                <w:sz w:val="28"/>
                <w:highlight w:val="none"/>
              </w:rPr>
            </w:pPr>
          </w:p>
          <w:p>
            <w:pPr>
              <w:snapToGrid w:val="0"/>
              <w:ind w:firstLine="840" w:firstLineChars="300"/>
              <w:rPr>
                <w:rStyle w:val="32"/>
                <w:rFonts w:cs="Times New Roman"/>
                <w:color w:val="auto"/>
                <w:sz w:val="28"/>
                <w:highlight w:val="none"/>
              </w:rPr>
            </w:pPr>
          </w:p>
          <w:p>
            <w:pPr>
              <w:snapToGrid w:val="0"/>
              <w:ind w:firstLine="840" w:firstLineChars="300"/>
              <w:rPr>
                <w:rStyle w:val="32"/>
                <w:rFonts w:cs="Times New Roman"/>
                <w:color w:val="auto"/>
                <w:sz w:val="28"/>
                <w:highlight w:val="none"/>
              </w:rPr>
            </w:pPr>
          </w:p>
          <w:p>
            <w:pPr>
              <w:snapToGrid w:val="0"/>
              <w:ind w:firstLine="280" w:firstLineChars="100"/>
              <w:rPr>
                <w:rStyle w:val="32"/>
                <w:rFonts w:cs="Times New Roman"/>
                <w:color w:val="auto"/>
                <w:sz w:val="28"/>
                <w:highlight w:val="none"/>
              </w:rPr>
            </w:pPr>
            <w:r>
              <w:rPr>
                <w:rStyle w:val="32"/>
                <w:rFonts w:cs="Times New Roman"/>
                <w:color w:val="auto"/>
                <w:sz w:val="28"/>
                <w:highlight w:val="none"/>
              </w:rPr>
              <w:t>招标代理机构（盖章）        法定代表人（签字或盖章）</w:t>
            </w:r>
          </w:p>
          <w:p>
            <w:pPr>
              <w:snapToGrid w:val="0"/>
              <w:ind w:firstLine="840" w:firstLineChars="300"/>
              <w:rPr>
                <w:rStyle w:val="32"/>
                <w:rFonts w:cs="Times New Roman"/>
                <w:color w:val="auto"/>
                <w:sz w:val="28"/>
                <w:highlight w:val="none"/>
              </w:rPr>
            </w:pPr>
          </w:p>
          <w:p>
            <w:pPr>
              <w:snapToGrid w:val="0"/>
              <w:rPr>
                <w:rStyle w:val="32"/>
                <w:rFonts w:cs="Times New Roman"/>
                <w:color w:val="auto"/>
                <w:sz w:val="28"/>
                <w:highlight w:val="none"/>
              </w:rPr>
            </w:pPr>
            <w:r>
              <w:rPr>
                <w:rStyle w:val="32"/>
                <w:rFonts w:cs="Times New Roman"/>
                <w:color w:val="auto"/>
                <w:sz w:val="28"/>
                <w:highlight w:val="none"/>
              </w:rPr>
              <w:t xml:space="preserve">   </w:t>
            </w:r>
          </w:p>
          <w:p>
            <w:pPr>
              <w:snapToGrid w:val="0"/>
              <w:ind w:firstLine="3920" w:firstLineChars="1400"/>
              <w:rPr>
                <w:rStyle w:val="32"/>
                <w:rFonts w:cs="Times New Roman"/>
                <w:color w:val="auto"/>
                <w:sz w:val="28"/>
                <w:highlight w:val="none"/>
              </w:rPr>
            </w:pPr>
            <w:r>
              <w:rPr>
                <w:rStyle w:val="32"/>
                <w:rFonts w:cs="Times New Roman"/>
                <w:color w:val="auto"/>
                <w:sz w:val="28"/>
                <w:highlight w:val="none"/>
              </w:rPr>
              <w:t>日  期：2021年1</w:t>
            </w:r>
            <w:r>
              <w:rPr>
                <w:rStyle w:val="32"/>
                <w:rFonts w:hint="eastAsia" w:cs="Times New Roman"/>
                <w:color w:val="auto"/>
                <w:sz w:val="28"/>
                <w:highlight w:val="none"/>
                <w:lang w:val="en-US" w:eastAsia="zh-CN"/>
              </w:rPr>
              <w:t>1</w:t>
            </w:r>
            <w:r>
              <w:rPr>
                <w:rStyle w:val="32"/>
                <w:rFonts w:cs="Times New Roman"/>
                <w:color w:val="auto"/>
                <w:sz w:val="28"/>
                <w:highlight w:val="none"/>
              </w:rPr>
              <w:t>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36" w:hRule="atLeast"/>
        </w:trPr>
        <w:tc>
          <w:tcPr>
            <w:tcW w:w="8790" w:type="dxa"/>
            <w:tcBorders>
              <w:top w:val="single" w:color="000000" w:sz="4" w:space="0"/>
              <w:left w:val="single" w:color="000000" w:sz="4" w:space="0"/>
              <w:bottom w:val="single" w:color="000000" w:sz="4" w:space="0"/>
              <w:right w:val="single" w:color="000000" w:sz="4" w:space="0"/>
            </w:tcBorders>
          </w:tcPr>
          <w:p>
            <w:pPr>
              <w:snapToGrid w:val="0"/>
              <w:rPr>
                <w:rStyle w:val="32"/>
                <w:rFonts w:cs="Times New Roman"/>
                <w:color w:val="auto"/>
                <w:sz w:val="28"/>
                <w:highlight w:val="none"/>
              </w:rPr>
            </w:pPr>
          </w:p>
          <w:p>
            <w:pPr>
              <w:snapToGrid w:val="0"/>
              <w:rPr>
                <w:rStyle w:val="32"/>
                <w:rFonts w:cs="Times New Roman"/>
                <w:color w:val="auto"/>
                <w:sz w:val="28"/>
                <w:highlight w:val="none"/>
              </w:rPr>
            </w:pPr>
          </w:p>
          <w:p>
            <w:pPr>
              <w:snapToGrid w:val="0"/>
              <w:rPr>
                <w:rStyle w:val="32"/>
                <w:rFonts w:cs="Times New Roman"/>
                <w:color w:val="auto"/>
                <w:sz w:val="28"/>
                <w:highlight w:val="none"/>
              </w:rPr>
            </w:pPr>
          </w:p>
          <w:p>
            <w:pPr>
              <w:snapToGrid w:val="0"/>
              <w:rPr>
                <w:rStyle w:val="32"/>
                <w:rFonts w:cs="Times New Roman"/>
                <w:color w:val="auto"/>
                <w:sz w:val="28"/>
                <w:highlight w:val="none"/>
              </w:rPr>
            </w:pPr>
          </w:p>
          <w:p>
            <w:pPr>
              <w:pStyle w:val="2"/>
              <w:rPr>
                <w:rFonts w:ascii="Times New Roman" w:cs="Times New Roman"/>
                <w:color w:val="auto"/>
                <w:highlight w:val="none"/>
              </w:rPr>
            </w:pPr>
          </w:p>
          <w:p>
            <w:pPr>
              <w:snapToGrid w:val="0"/>
              <w:jc w:val="center"/>
              <w:rPr>
                <w:rStyle w:val="32"/>
                <w:rFonts w:cs="Times New Roman"/>
                <w:color w:val="auto"/>
                <w:sz w:val="28"/>
                <w:highlight w:val="none"/>
              </w:rPr>
            </w:pPr>
            <w:r>
              <w:rPr>
                <w:rStyle w:val="32"/>
                <w:rFonts w:cs="Times New Roman"/>
                <w:color w:val="auto"/>
                <w:sz w:val="28"/>
                <w:highlight w:val="none"/>
              </w:rPr>
              <w:t>招投标监督部门（备案）</w:t>
            </w:r>
          </w:p>
          <w:p>
            <w:pPr>
              <w:snapToGrid w:val="0"/>
              <w:ind w:firstLine="560" w:firstLineChars="200"/>
              <w:jc w:val="center"/>
              <w:rPr>
                <w:rStyle w:val="32"/>
                <w:rFonts w:cs="Times New Roman"/>
                <w:color w:val="auto"/>
                <w:sz w:val="28"/>
                <w:highlight w:val="none"/>
              </w:rPr>
            </w:pPr>
          </w:p>
        </w:tc>
      </w:tr>
    </w:tbl>
    <w:p>
      <w:pPr>
        <w:rPr>
          <w:rFonts w:cs="Times New Roman"/>
          <w:color w:val="auto"/>
          <w:highlight w:val="none"/>
        </w:rPr>
      </w:pPr>
    </w:p>
    <w:p>
      <w:pPr>
        <w:snapToGrid w:val="0"/>
        <w:spacing w:line="360" w:lineRule="auto"/>
        <w:jc w:val="center"/>
        <w:rPr>
          <w:rStyle w:val="32"/>
          <w:rFonts w:eastAsia="黑体" w:cs="Times New Roman"/>
          <w:bCs/>
          <w:color w:val="auto"/>
          <w:sz w:val="44"/>
          <w:highlight w:val="none"/>
        </w:rPr>
      </w:pPr>
      <w:r>
        <w:rPr>
          <w:rStyle w:val="32"/>
          <w:rFonts w:eastAsia="黑体" w:cs="Times New Roman"/>
          <w:bCs/>
          <w:color w:val="auto"/>
          <w:sz w:val="44"/>
          <w:highlight w:val="none"/>
        </w:rPr>
        <w:br w:type="page"/>
      </w:r>
      <w:r>
        <w:rPr>
          <w:rStyle w:val="32"/>
          <w:rFonts w:eastAsia="黑体" w:cs="Times New Roman"/>
          <w:bCs/>
          <w:color w:val="auto"/>
          <w:sz w:val="44"/>
          <w:highlight w:val="none"/>
        </w:rPr>
        <w:t>第一章  招标公告</w:t>
      </w:r>
    </w:p>
    <w:p>
      <w:pPr>
        <w:snapToGrid w:val="0"/>
        <w:spacing w:line="360" w:lineRule="auto"/>
        <w:ind w:firstLine="562" w:firstLineChars="200"/>
        <w:jc w:val="center"/>
        <w:rPr>
          <w:rStyle w:val="32"/>
          <w:rFonts w:cs="Times New Roman"/>
          <w:b/>
          <w:color w:val="auto"/>
          <w:sz w:val="28"/>
          <w:szCs w:val="32"/>
          <w:highlight w:val="none"/>
        </w:rPr>
      </w:pPr>
      <w:r>
        <w:rPr>
          <w:rStyle w:val="32"/>
          <w:rFonts w:hint="eastAsia" w:cs="Times New Roman"/>
          <w:b/>
          <w:color w:val="auto"/>
          <w:sz w:val="28"/>
          <w:szCs w:val="32"/>
          <w:highlight w:val="none"/>
          <w:lang w:eastAsia="zh-CN"/>
        </w:rPr>
        <w:t>如皋市交通产业集团有限公司</w:t>
      </w:r>
      <w:r>
        <w:rPr>
          <w:rStyle w:val="32"/>
          <w:rFonts w:cs="Times New Roman"/>
          <w:b/>
          <w:color w:val="auto"/>
          <w:sz w:val="28"/>
          <w:szCs w:val="32"/>
          <w:highlight w:val="none"/>
        </w:rPr>
        <w:t>施工类预选入库项目</w:t>
      </w:r>
    </w:p>
    <w:p>
      <w:pPr>
        <w:snapToGrid w:val="0"/>
        <w:spacing w:line="360" w:lineRule="auto"/>
        <w:ind w:firstLine="562" w:firstLineChars="200"/>
        <w:jc w:val="center"/>
        <w:rPr>
          <w:rStyle w:val="32"/>
          <w:rFonts w:cs="Times New Roman"/>
          <w:b/>
          <w:color w:val="auto"/>
          <w:sz w:val="28"/>
          <w:szCs w:val="32"/>
          <w:highlight w:val="none"/>
        </w:rPr>
      </w:pPr>
      <w:r>
        <w:rPr>
          <w:rStyle w:val="32"/>
          <w:rFonts w:cs="Times New Roman"/>
          <w:b/>
          <w:color w:val="auto"/>
          <w:sz w:val="28"/>
          <w:szCs w:val="32"/>
          <w:highlight w:val="none"/>
        </w:rPr>
        <w:t>招标公告（资格后审）</w:t>
      </w:r>
    </w:p>
    <w:p>
      <w:pPr>
        <w:snapToGrid w:val="0"/>
        <w:spacing w:line="360" w:lineRule="auto"/>
        <w:ind w:firstLine="480" w:firstLineChars="200"/>
        <w:jc w:val="left"/>
        <w:rPr>
          <w:rStyle w:val="32"/>
          <w:rFonts w:cs="Times New Roman"/>
          <w:color w:val="auto"/>
          <w:sz w:val="24"/>
          <w:szCs w:val="24"/>
          <w:highlight w:val="none"/>
        </w:rPr>
      </w:pPr>
      <w:r>
        <w:rPr>
          <w:rStyle w:val="32"/>
          <w:rFonts w:cs="Times New Roman"/>
          <w:color w:val="auto"/>
          <w:sz w:val="24"/>
          <w:szCs w:val="24"/>
          <w:highlight w:val="none"/>
        </w:rPr>
        <w:t>捷宏润安工程顾问有限公司受</w:t>
      </w:r>
      <w:r>
        <w:rPr>
          <w:rStyle w:val="32"/>
          <w:rFonts w:hint="eastAsia" w:cs="Times New Roman"/>
          <w:color w:val="auto"/>
          <w:sz w:val="24"/>
          <w:szCs w:val="24"/>
          <w:highlight w:val="none"/>
          <w:lang w:eastAsia="zh-CN"/>
        </w:rPr>
        <w:t>如皋市交通产业集团有限公司</w:t>
      </w:r>
      <w:r>
        <w:rPr>
          <w:rStyle w:val="32"/>
          <w:rFonts w:cs="Times New Roman"/>
          <w:color w:val="auto"/>
          <w:sz w:val="24"/>
          <w:szCs w:val="24"/>
          <w:highlight w:val="none"/>
        </w:rPr>
        <w:t>委托，对其所需的</w:t>
      </w:r>
      <w:r>
        <w:rPr>
          <w:rStyle w:val="32"/>
          <w:rFonts w:hint="eastAsia" w:cs="Times New Roman"/>
          <w:color w:val="auto"/>
          <w:sz w:val="24"/>
          <w:szCs w:val="24"/>
          <w:highlight w:val="none"/>
          <w:lang w:eastAsia="zh-CN"/>
        </w:rPr>
        <w:t>如皋市交通产业集团有限公司</w:t>
      </w:r>
      <w:r>
        <w:rPr>
          <w:rStyle w:val="32"/>
          <w:rFonts w:cs="Times New Roman"/>
          <w:color w:val="auto"/>
          <w:sz w:val="24"/>
          <w:szCs w:val="24"/>
          <w:highlight w:val="none"/>
        </w:rPr>
        <w:t>及其下属子公司的施工类预选入库项目进行公开招标，现欢迎符合相关条件的合格供应商参与投标。</w:t>
      </w:r>
    </w:p>
    <w:p>
      <w:pPr>
        <w:tabs>
          <w:tab w:val="left" w:pos="900"/>
        </w:tabs>
        <w:snapToGrid w:val="0"/>
        <w:spacing w:line="360" w:lineRule="auto"/>
        <w:ind w:firstLine="482" w:firstLineChars="200"/>
        <w:rPr>
          <w:rStyle w:val="32"/>
          <w:rFonts w:cs="Times New Roman"/>
          <w:b/>
          <w:bCs/>
          <w:color w:val="auto"/>
          <w:sz w:val="24"/>
          <w:highlight w:val="none"/>
        </w:rPr>
      </w:pPr>
      <w:r>
        <w:rPr>
          <w:rStyle w:val="32"/>
          <w:rFonts w:cs="Times New Roman"/>
          <w:b/>
          <w:bCs/>
          <w:color w:val="auto"/>
          <w:sz w:val="24"/>
          <w:highlight w:val="none"/>
        </w:rPr>
        <w:t>一、招标项目名称</w:t>
      </w:r>
    </w:p>
    <w:p>
      <w:pPr>
        <w:tabs>
          <w:tab w:val="left" w:pos="900"/>
        </w:tabs>
        <w:snapToGrid w:val="0"/>
        <w:spacing w:line="360" w:lineRule="auto"/>
        <w:ind w:firstLine="480" w:firstLineChars="200"/>
        <w:rPr>
          <w:rStyle w:val="32"/>
          <w:rFonts w:cs="Times New Roman"/>
          <w:b/>
          <w:bCs/>
          <w:color w:val="auto"/>
          <w:sz w:val="24"/>
          <w:highlight w:val="none"/>
        </w:rPr>
      </w:pPr>
      <w:r>
        <w:rPr>
          <w:rStyle w:val="32"/>
          <w:rFonts w:cs="Times New Roman"/>
          <w:color w:val="auto"/>
          <w:sz w:val="24"/>
          <w:szCs w:val="24"/>
          <w:highlight w:val="none"/>
        </w:rPr>
        <w:t>项目名称：</w:t>
      </w:r>
      <w:r>
        <w:rPr>
          <w:rStyle w:val="32"/>
          <w:rFonts w:hint="eastAsia" w:cs="Times New Roman"/>
          <w:color w:val="auto"/>
          <w:sz w:val="24"/>
          <w:szCs w:val="24"/>
          <w:highlight w:val="none"/>
          <w:lang w:eastAsia="zh-CN"/>
        </w:rPr>
        <w:t>如皋市交通产业集团有限公司</w:t>
      </w:r>
      <w:r>
        <w:rPr>
          <w:rStyle w:val="32"/>
          <w:rFonts w:cs="Times New Roman"/>
          <w:color w:val="auto"/>
          <w:sz w:val="24"/>
          <w:szCs w:val="24"/>
          <w:highlight w:val="none"/>
        </w:rPr>
        <w:t>施工类预选入库项目</w:t>
      </w:r>
    </w:p>
    <w:p>
      <w:pPr>
        <w:tabs>
          <w:tab w:val="left" w:pos="900"/>
        </w:tabs>
        <w:snapToGrid w:val="0"/>
        <w:spacing w:line="360" w:lineRule="auto"/>
        <w:ind w:firstLine="482" w:firstLineChars="200"/>
        <w:rPr>
          <w:rStyle w:val="32"/>
          <w:rFonts w:cs="Times New Roman"/>
          <w:b/>
          <w:bCs/>
          <w:color w:val="auto"/>
          <w:sz w:val="24"/>
          <w:highlight w:val="none"/>
        </w:rPr>
      </w:pPr>
      <w:r>
        <w:rPr>
          <w:rStyle w:val="32"/>
          <w:rFonts w:cs="Times New Roman"/>
          <w:b/>
          <w:bCs/>
          <w:color w:val="auto"/>
          <w:sz w:val="24"/>
          <w:highlight w:val="none"/>
        </w:rPr>
        <w:t>二、招标项目概况与招标范围</w:t>
      </w:r>
    </w:p>
    <w:p>
      <w:pPr>
        <w:tabs>
          <w:tab w:val="left" w:pos="900"/>
        </w:tabs>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（1）项目地点：如皋市内。</w:t>
      </w:r>
    </w:p>
    <w:p>
      <w:pPr>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（2）服务期限：</w:t>
      </w:r>
      <w:r>
        <w:rPr>
          <w:rStyle w:val="32"/>
          <w:rFonts w:hint="eastAsia" w:cs="Times New Roman"/>
          <w:color w:val="auto"/>
          <w:kern w:val="0"/>
          <w:sz w:val="24"/>
          <w:szCs w:val="24"/>
          <w:highlight w:val="none"/>
          <w:lang w:val="en-US" w:eastAsia="zh-CN"/>
        </w:rPr>
        <w:t>中标后-2022年12月31日</w:t>
      </w:r>
      <w:r>
        <w:rPr>
          <w:rStyle w:val="32"/>
          <w:rFonts w:cs="Times New Roman"/>
          <w:color w:val="auto"/>
          <w:kern w:val="0"/>
          <w:sz w:val="24"/>
          <w:szCs w:val="24"/>
          <w:highlight w:val="none"/>
        </w:rPr>
        <w:t>。自合同签订之日起计算。</w:t>
      </w:r>
    </w:p>
    <w:p>
      <w:pPr>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（3）采购内容：2021-2022年度</w:t>
      </w:r>
      <w:r>
        <w:rPr>
          <w:rStyle w:val="32"/>
          <w:rFonts w:hint="eastAsia" w:cs="Times New Roman"/>
          <w:color w:val="auto"/>
          <w:kern w:val="0"/>
          <w:sz w:val="24"/>
          <w:szCs w:val="24"/>
          <w:highlight w:val="none"/>
          <w:lang w:eastAsia="zh-CN"/>
        </w:rPr>
        <w:t>如皋市交通产业集团有限公司</w:t>
      </w:r>
      <w:r>
        <w:rPr>
          <w:rStyle w:val="32"/>
          <w:rFonts w:cs="Times New Roman"/>
          <w:color w:val="auto"/>
          <w:kern w:val="0"/>
          <w:sz w:val="24"/>
          <w:szCs w:val="24"/>
          <w:highlight w:val="none"/>
        </w:rPr>
        <w:t>以及集团下属工程承包企业所承包项目的施工、材料设备供应（不含甲供材）、施工质保期间的质保。具体以最终签订的施工合同为准。</w:t>
      </w:r>
    </w:p>
    <w:p>
      <w:pPr>
        <w:tabs>
          <w:tab w:val="left" w:pos="900"/>
        </w:tabs>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（4）标段划分：本次招标按照预选入库专业分为6个标段，各标段的标段号及标段名称如下：</w:t>
      </w:r>
    </w:p>
    <w:p>
      <w:pPr>
        <w:tabs>
          <w:tab w:val="left" w:pos="900"/>
        </w:tabs>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YXGC-1：建筑工程标段</w:t>
      </w:r>
    </w:p>
    <w:p>
      <w:pPr>
        <w:tabs>
          <w:tab w:val="left" w:pos="900"/>
        </w:tabs>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YXGC-2：市政公用工程标段</w:t>
      </w:r>
    </w:p>
    <w:p>
      <w:pPr>
        <w:tabs>
          <w:tab w:val="left" w:pos="900"/>
        </w:tabs>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YXGC-3：公路工程标段</w:t>
      </w:r>
    </w:p>
    <w:p>
      <w:pPr>
        <w:tabs>
          <w:tab w:val="left" w:pos="900"/>
        </w:tabs>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YXGC-4：建筑装修装饰工程标段</w:t>
      </w:r>
    </w:p>
    <w:p>
      <w:pPr>
        <w:tabs>
          <w:tab w:val="left" w:pos="900"/>
        </w:tabs>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YXGC-5：景观绿化工程标段</w:t>
      </w:r>
    </w:p>
    <w:p>
      <w:pPr>
        <w:tabs>
          <w:tab w:val="left" w:pos="900"/>
        </w:tabs>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YXGC-6：交通安全设施标段</w:t>
      </w:r>
    </w:p>
    <w:p>
      <w:pPr>
        <w:tabs>
          <w:tab w:val="left" w:pos="900"/>
        </w:tabs>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允许投标人申请多个标段的投标，允许投标人入选多个标段的预选库。</w:t>
      </w:r>
    </w:p>
    <w:p>
      <w:pPr>
        <w:tabs>
          <w:tab w:val="left" w:pos="900"/>
        </w:tabs>
        <w:snapToGrid w:val="0"/>
        <w:spacing w:line="360" w:lineRule="auto"/>
        <w:ind w:firstLine="482" w:firstLineChars="200"/>
        <w:rPr>
          <w:rStyle w:val="32"/>
          <w:rFonts w:cs="Times New Roman"/>
          <w:b/>
          <w:bCs/>
          <w:color w:val="auto"/>
          <w:sz w:val="24"/>
          <w:highlight w:val="none"/>
        </w:rPr>
      </w:pPr>
      <w:r>
        <w:rPr>
          <w:rStyle w:val="32"/>
          <w:rFonts w:cs="Times New Roman"/>
          <w:b/>
          <w:bCs/>
          <w:color w:val="auto"/>
          <w:sz w:val="24"/>
          <w:highlight w:val="none"/>
        </w:rPr>
        <w:t>三、供应商资格要求</w:t>
      </w:r>
    </w:p>
    <w:p>
      <w:pPr>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sz w:val="24"/>
          <w:highlight w:val="none"/>
        </w:rPr>
        <w:t>1、</w:t>
      </w:r>
      <w:r>
        <w:rPr>
          <w:rStyle w:val="32"/>
          <w:rFonts w:cs="Times New Roman"/>
          <w:color w:val="auto"/>
          <w:kern w:val="0"/>
          <w:sz w:val="24"/>
          <w:szCs w:val="24"/>
          <w:highlight w:val="none"/>
        </w:rPr>
        <w:t>具有独立承担民事责任的能力；</w:t>
      </w:r>
    </w:p>
    <w:p>
      <w:pPr>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2、具有良好的商业信誉和健全的财务会计制度；</w:t>
      </w:r>
    </w:p>
    <w:p>
      <w:pPr>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3、具有履行合同所必需的设备和专业技术能力；</w:t>
      </w:r>
    </w:p>
    <w:p>
      <w:pPr>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4、有依法缴纳税收和社会保障资金的良好记录；</w:t>
      </w:r>
    </w:p>
    <w:p>
      <w:pPr>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5、参加本次采购活动前三年内在经营活动中没有重大违法记录。</w:t>
      </w:r>
    </w:p>
    <w:p>
      <w:pPr>
        <w:snapToGrid w:val="0"/>
        <w:spacing w:line="360" w:lineRule="auto"/>
        <w:ind w:firstLine="480" w:firstLineChars="200"/>
        <w:jc w:val="left"/>
        <w:rPr>
          <w:rStyle w:val="32"/>
          <w:rFonts w:cs="Times New Roman"/>
          <w:color w:val="auto"/>
          <w:kern w:val="0"/>
          <w:sz w:val="24"/>
          <w:szCs w:val="24"/>
          <w:highlight w:val="none"/>
        </w:rPr>
      </w:pPr>
      <w:r>
        <w:rPr>
          <w:rStyle w:val="32"/>
          <w:rFonts w:cs="Times New Roman"/>
          <w:color w:val="auto"/>
          <w:kern w:val="0"/>
          <w:sz w:val="24"/>
          <w:szCs w:val="24"/>
          <w:highlight w:val="none"/>
        </w:rPr>
        <w:t xml:space="preserve">6、具有独立订立合同能力的企业； </w:t>
      </w:r>
    </w:p>
    <w:p>
      <w:pPr>
        <w:snapToGrid w:val="0"/>
        <w:spacing w:line="360" w:lineRule="auto"/>
        <w:ind w:firstLine="480" w:firstLineChars="200"/>
        <w:jc w:val="left"/>
        <w:rPr>
          <w:rStyle w:val="32"/>
          <w:rFonts w:cs="Times New Roman"/>
          <w:color w:val="auto"/>
          <w:kern w:val="0"/>
          <w:sz w:val="24"/>
          <w:szCs w:val="24"/>
          <w:highlight w:val="none"/>
        </w:rPr>
      </w:pPr>
      <w:r>
        <w:rPr>
          <w:rStyle w:val="32"/>
          <w:rFonts w:cs="Times New Roman"/>
          <w:color w:val="auto"/>
          <w:kern w:val="0"/>
          <w:sz w:val="24"/>
          <w:szCs w:val="24"/>
          <w:highlight w:val="none"/>
        </w:rPr>
        <w:t>7、未处于被责令停业、投标资格被取消或者财产被接管、冻结和破产状态；</w:t>
      </w:r>
    </w:p>
    <w:p>
      <w:pPr>
        <w:snapToGrid w:val="0"/>
        <w:spacing w:line="360" w:lineRule="auto"/>
        <w:ind w:firstLine="480" w:firstLineChars="200"/>
        <w:jc w:val="left"/>
        <w:rPr>
          <w:rStyle w:val="32"/>
          <w:rFonts w:cs="Times New Roman"/>
          <w:color w:val="auto"/>
          <w:kern w:val="0"/>
          <w:sz w:val="24"/>
          <w:szCs w:val="24"/>
          <w:highlight w:val="none"/>
        </w:rPr>
      </w:pPr>
      <w:r>
        <w:rPr>
          <w:rStyle w:val="32"/>
          <w:rFonts w:cs="Times New Roman"/>
          <w:color w:val="auto"/>
          <w:kern w:val="0"/>
          <w:sz w:val="24"/>
          <w:szCs w:val="24"/>
          <w:highlight w:val="none"/>
        </w:rPr>
        <w:t>8、企业没有因骗取中标或者严重违约以及发生重大工程质量、安全生产事故等违法违规问题，被有关部门暂停投标资格并在暂停期内的；</w:t>
      </w:r>
    </w:p>
    <w:p>
      <w:pPr>
        <w:snapToGrid w:val="0"/>
        <w:spacing w:line="360" w:lineRule="auto"/>
        <w:ind w:firstLine="480" w:firstLineChars="200"/>
        <w:jc w:val="left"/>
        <w:rPr>
          <w:rStyle w:val="32"/>
          <w:rFonts w:cs="Times New Roman"/>
          <w:color w:val="auto"/>
          <w:kern w:val="0"/>
          <w:sz w:val="24"/>
          <w:szCs w:val="24"/>
          <w:highlight w:val="none"/>
        </w:rPr>
      </w:pPr>
      <w:r>
        <w:rPr>
          <w:rStyle w:val="32"/>
          <w:rFonts w:cs="Times New Roman"/>
          <w:color w:val="auto"/>
          <w:kern w:val="0"/>
          <w:sz w:val="24"/>
          <w:szCs w:val="24"/>
          <w:highlight w:val="none"/>
        </w:rPr>
        <w:t>9、投标人资质类别及等级：</w:t>
      </w:r>
    </w:p>
    <w:p>
      <w:pPr>
        <w:snapToGrid w:val="0"/>
        <w:spacing w:line="360" w:lineRule="auto"/>
        <w:ind w:firstLine="480" w:firstLineChars="200"/>
        <w:jc w:val="left"/>
        <w:rPr>
          <w:rStyle w:val="32"/>
          <w:rFonts w:cs="Times New Roman"/>
          <w:color w:val="auto"/>
          <w:kern w:val="0"/>
          <w:sz w:val="24"/>
          <w:szCs w:val="24"/>
          <w:highlight w:val="none"/>
        </w:rPr>
      </w:pPr>
      <w:r>
        <w:rPr>
          <w:rStyle w:val="32"/>
          <w:rFonts w:cs="Times New Roman"/>
          <w:color w:val="auto"/>
          <w:kern w:val="0"/>
          <w:sz w:val="24"/>
          <w:szCs w:val="24"/>
          <w:highlight w:val="none"/>
        </w:rPr>
        <w:t>各标段投标人须具备的资质等级如下：</w:t>
      </w:r>
    </w:p>
    <w:p>
      <w:pPr>
        <w:tabs>
          <w:tab w:val="left" w:pos="900"/>
        </w:tabs>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YXGC-1（建筑工程标段）：</w:t>
      </w:r>
      <w:r>
        <w:rPr>
          <w:rStyle w:val="32"/>
          <w:rFonts w:cs="Times New Roman"/>
          <w:b/>
          <w:bCs/>
          <w:color w:val="auto"/>
          <w:kern w:val="0"/>
          <w:sz w:val="24"/>
          <w:szCs w:val="24"/>
          <w:highlight w:val="none"/>
          <w:u w:val="single" w:color="000000"/>
        </w:rPr>
        <w:t>建筑工程施工总承包叁级及以上资质；</w:t>
      </w:r>
    </w:p>
    <w:p>
      <w:pPr>
        <w:tabs>
          <w:tab w:val="left" w:pos="900"/>
        </w:tabs>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YXGC-2（市政公用工程标段）：</w:t>
      </w:r>
      <w:r>
        <w:rPr>
          <w:rStyle w:val="32"/>
          <w:rFonts w:cs="Times New Roman"/>
          <w:b/>
          <w:bCs/>
          <w:color w:val="auto"/>
          <w:kern w:val="0"/>
          <w:sz w:val="24"/>
          <w:szCs w:val="24"/>
          <w:highlight w:val="none"/>
          <w:u w:val="single" w:color="000000"/>
        </w:rPr>
        <w:t>市政公用工程施工总承包叁级及以上资质</w:t>
      </w:r>
      <w:r>
        <w:rPr>
          <w:rStyle w:val="32"/>
          <w:rFonts w:cs="Times New Roman"/>
          <w:b/>
          <w:bCs/>
          <w:color w:val="auto"/>
          <w:kern w:val="0"/>
          <w:sz w:val="24"/>
          <w:szCs w:val="24"/>
          <w:highlight w:val="none"/>
        </w:rPr>
        <w:t>；</w:t>
      </w:r>
    </w:p>
    <w:p>
      <w:pPr>
        <w:tabs>
          <w:tab w:val="left" w:pos="900"/>
        </w:tabs>
        <w:snapToGrid w:val="0"/>
        <w:spacing w:line="360" w:lineRule="auto"/>
        <w:ind w:firstLine="480" w:firstLineChars="200"/>
        <w:rPr>
          <w:rStyle w:val="32"/>
          <w:rFonts w:cs="Times New Roman"/>
          <w:b/>
          <w:bCs/>
          <w:color w:val="auto"/>
          <w:kern w:val="0"/>
          <w:sz w:val="24"/>
          <w:szCs w:val="24"/>
          <w:highlight w:val="none"/>
          <w:u w:val="single" w:color="000000"/>
        </w:rPr>
      </w:pPr>
      <w:r>
        <w:rPr>
          <w:rStyle w:val="32"/>
          <w:rFonts w:cs="Times New Roman"/>
          <w:color w:val="auto"/>
          <w:kern w:val="0"/>
          <w:sz w:val="24"/>
          <w:szCs w:val="24"/>
          <w:highlight w:val="none"/>
        </w:rPr>
        <w:t>YXGC-3（公路工程标段）：</w:t>
      </w:r>
      <w:r>
        <w:rPr>
          <w:rStyle w:val="32"/>
          <w:rFonts w:cs="Times New Roman"/>
          <w:b/>
          <w:bCs/>
          <w:color w:val="auto"/>
          <w:kern w:val="0"/>
          <w:sz w:val="24"/>
          <w:szCs w:val="24"/>
          <w:highlight w:val="none"/>
          <w:u w:val="single" w:color="000000"/>
        </w:rPr>
        <w:t>公路工程施工总承包叁级及以上资质；</w:t>
      </w:r>
    </w:p>
    <w:p>
      <w:pPr>
        <w:tabs>
          <w:tab w:val="left" w:pos="900"/>
        </w:tabs>
        <w:snapToGrid w:val="0"/>
        <w:spacing w:line="360" w:lineRule="auto"/>
        <w:ind w:firstLine="480" w:firstLineChars="200"/>
        <w:rPr>
          <w:rStyle w:val="32"/>
          <w:rFonts w:cs="Times New Roman"/>
          <w:b/>
          <w:bCs/>
          <w:color w:val="auto"/>
          <w:kern w:val="0"/>
          <w:sz w:val="24"/>
          <w:szCs w:val="24"/>
          <w:highlight w:val="none"/>
          <w:u w:val="single" w:color="000000"/>
        </w:rPr>
      </w:pPr>
      <w:r>
        <w:rPr>
          <w:rStyle w:val="32"/>
          <w:rFonts w:cs="Times New Roman"/>
          <w:color w:val="auto"/>
          <w:kern w:val="0"/>
          <w:sz w:val="24"/>
          <w:szCs w:val="24"/>
          <w:highlight w:val="none"/>
        </w:rPr>
        <w:t>YXGC-4（建筑装修装饰工程标段）：</w:t>
      </w:r>
      <w:r>
        <w:rPr>
          <w:rStyle w:val="32"/>
          <w:rFonts w:cs="Times New Roman"/>
          <w:b/>
          <w:bCs/>
          <w:color w:val="auto"/>
          <w:kern w:val="0"/>
          <w:sz w:val="24"/>
          <w:szCs w:val="24"/>
          <w:highlight w:val="none"/>
          <w:u w:val="single" w:color="000000"/>
        </w:rPr>
        <w:t>建筑装修装饰工程专业承包贰级及以上资质；</w:t>
      </w:r>
    </w:p>
    <w:p>
      <w:pPr>
        <w:tabs>
          <w:tab w:val="left" w:pos="900"/>
        </w:tabs>
        <w:snapToGrid w:val="0"/>
        <w:spacing w:line="360" w:lineRule="auto"/>
        <w:ind w:firstLine="480" w:firstLineChars="200"/>
        <w:rPr>
          <w:rStyle w:val="32"/>
          <w:rFonts w:cs="Times New Roman"/>
          <w:color w:val="auto"/>
          <w:kern w:val="0"/>
          <w:sz w:val="24"/>
          <w:szCs w:val="24"/>
          <w:highlight w:val="none"/>
          <w:u w:val="single"/>
        </w:rPr>
      </w:pPr>
      <w:r>
        <w:rPr>
          <w:rStyle w:val="32"/>
          <w:rFonts w:cs="Times New Roman"/>
          <w:color w:val="auto"/>
          <w:kern w:val="0"/>
          <w:sz w:val="24"/>
          <w:szCs w:val="24"/>
          <w:highlight w:val="none"/>
        </w:rPr>
        <w:t>YXGC-5（景观绿化工程标段）：</w:t>
      </w:r>
      <w:r>
        <w:rPr>
          <w:rStyle w:val="32"/>
          <w:rFonts w:cs="Times New Roman"/>
          <w:b/>
          <w:bCs/>
          <w:color w:val="auto"/>
          <w:kern w:val="0"/>
          <w:sz w:val="24"/>
          <w:szCs w:val="24"/>
          <w:highlight w:val="none"/>
          <w:u w:val="single" w:color="000000"/>
        </w:rPr>
        <w:t>经营范围具有绿化相关内容；</w:t>
      </w:r>
    </w:p>
    <w:p>
      <w:pPr>
        <w:tabs>
          <w:tab w:val="left" w:pos="900"/>
        </w:tabs>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YXGC-6（交通安全设施标段）：</w:t>
      </w:r>
      <w:r>
        <w:rPr>
          <w:rStyle w:val="32"/>
          <w:rFonts w:cs="Times New Roman"/>
          <w:b/>
          <w:bCs/>
          <w:color w:val="auto"/>
          <w:kern w:val="0"/>
          <w:sz w:val="24"/>
          <w:szCs w:val="24"/>
          <w:highlight w:val="none"/>
          <w:u w:val="single" w:color="000000"/>
        </w:rPr>
        <w:t>公路交通工程专业</w:t>
      </w:r>
      <w:r>
        <w:rPr>
          <w:rStyle w:val="32"/>
          <w:rFonts w:hint="eastAsia" w:cs="Times New Roman"/>
          <w:b/>
          <w:bCs/>
          <w:color w:val="auto"/>
          <w:kern w:val="0"/>
          <w:sz w:val="24"/>
          <w:szCs w:val="24"/>
          <w:highlight w:val="none"/>
          <w:u w:val="single" w:color="000000"/>
          <w:lang w:val="en-US" w:eastAsia="zh-CN"/>
        </w:rPr>
        <w:t>贰</w:t>
      </w:r>
      <w:r>
        <w:rPr>
          <w:rStyle w:val="32"/>
          <w:rFonts w:cs="Times New Roman"/>
          <w:b/>
          <w:bCs/>
          <w:color w:val="auto"/>
          <w:kern w:val="0"/>
          <w:sz w:val="24"/>
          <w:szCs w:val="24"/>
          <w:highlight w:val="none"/>
          <w:u w:val="single" w:color="000000"/>
        </w:rPr>
        <w:t>级及以上资质（公路安全设施分项）</w:t>
      </w:r>
    </w:p>
    <w:p>
      <w:pPr>
        <w:snapToGrid w:val="0"/>
        <w:spacing w:line="360" w:lineRule="auto"/>
        <w:ind w:firstLine="482" w:firstLineChars="200"/>
        <w:jc w:val="left"/>
        <w:rPr>
          <w:rFonts w:cs="Times New Roman"/>
          <w:color w:val="auto"/>
          <w:highlight w:val="none"/>
        </w:rPr>
      </w:pPr>
      <w:r>
        <w:rPr>
          <w:rStyle w:val="32"/>
          <w:rFonts w:cs="Times New Roman"/>
          <w:b/>
          <w:bCs/>
          <w:color w:val="auto"/>
          <w:kern w:val="0"/>
          <w:sz w:val="24"/>
          <w:szCs w:val="24"/>
          <w:highlight w:val="none"/>
          <w:u w:val="single" w:color="000000"/>
        </w:rPr>
        <w:t>除YXGC-5标段外，其他所有投标人需持有有效的《安全生产许可证》。</w:t>
      </w:r>
    </w:p>
    <w:p>
      <w:pPr>
        <w:snapToGrid w:val="0"/>
        <w:spacing w:line="360" w:lineRule="auto"/>
        <w:ind w:firstLine="480" w:firstLineChars="200"/>
        <w:jc w:val="left"/>
        <w:rPr>
          <w:rStyle w:val="32"/>
          <w:rFonts w:cs="Times New Roman"/>
          <w:color w:val="auto"/>
          <w:kern w:val="0"/>
          <w:sz w:val="24"/>
          <w:szCs w:val="24"/>
          <w:highlight w:val="none"/>
        </w:rPr>
      </w:pPr>
      <w:r>
        <w:rPr>
          <w:rStyle w:val="32"/>
          <w:rFonts w:cs="Times New Roman"/>
          <w:color w:val="auto"/>
          <w:kern w:val="0"/>
          <w:sz w:val="24"/>
          <w:szCs w:val="24"/>
          <w:highlight w:val="none"/>
        </w:rPr>
        <w:t>10、拟选派项目负责人等级：</w:t>
      </w:r>
    </w:p>
    <w:p>
      <w:pPr>
        <w:snapToGrid w:val="0"/>
        <w:spacing w:line="360" w:lineRule="auto"/>
        <w:ind w:firstLine="480" w:firstLineChars="200"/>
        <w:jc w:val="left"/>
        <w:rPr>
          <w:rStyle w:val="32"/>
          <w:rFonts w:cs="Times New Roman"/>
          <w:color w:val="auto"/>
          <w:kern w:val="0"/>
          <w:sz w:val="24"/>
          <w:szCs w:val="24"/>
          <w:highlight w:val="none"/>
        </w:rPr>
      </w:pPr>
      <w:r>
        <w:rPr>
          <w:rStyle w:val="32"/>
          <w:rFonts w:cs="Times New Roman"/>
          <w:color w:val="auto"/>
          <w:kern w:val="0"/>
          <w:sz w:val="24"/>
          <w:szCs w:val="24"/>
          <w:highlight w:val="none"/>
        </w:rPr>
        <w:t>各标段投标人允许申报1~4名项目负责人，项目负责人的要求如下：</w:t>
      </w:r>
    </w:p>
    <w:p>
      <w:pPr>
        <w:tabs>
          <w:tab w:val="left" w:pos="900"/>
        </w:tabs>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YXGC-1（建筑工程标段）：</w:t>
      </w:r>
      <w:r>
        <w:rPr>
          <w:rStyle w:val="32"/>
          <w:rFonts w:cs="Times New Roman"/>
          <w:b/>
          <w:bCs/>
          <w:color w:val="auto"/>
          <w:kern w:val="0"/>
          <w:sz w:val="24"/>
          <w:szCs w:val="24"/>
          <w:highlight w:val="none"/>
          <w:u w:val="single" w:color="000000"/>
        </w:rPr>
        <w:t>建筑工程专业</w:t>
      </w:r>
      <w:r>
        <w:rPr>
          <w:rStyle w:val="32"/>
          <w:rFonts w:hint="eastAsia" w:cs="Times New Roman"/>
          <w:b/>
          <w:bCs/>
          <w:color w:val="auto"/>
          <w:kern w:val="0"/>
          <w:sz w:val="24"/>
          <w:szCs w:val="24"/>
          <w:highlight w:val="none"/>
          <w:u w:val="single" w:color="000000"/>
          <w:lang w:eastAsia="zh-CN"/>
        </w:rPr>
        <w:t>贰级</w:t>
      </w:r>
      <w:r>
        <w:rPr>
          <w:rStyle w:val="32"/>
          <w:rFonts w:cs="Times New Roman"/>
          <w:b/>
          <w:bCs/>
          <w:color w:val="auto"/>
          <w:kern w:val="0"/>
          <w:sz w:val="24"/>
          <w:szCs w:val="24"/>
          <w:highlight w:val="none"/>
          <w:u w:val="single" w:color="000000"/>
        </w:rPr>
        <w:t>及以上注册建造师资格；</w:t>
      </w:r>
    </w:p>
    <w:p>
      <w:pPr>
        <w:tabs>
          <w:tab w:val="left" w:pos="900"/>
        </w:tabs>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YXGC-2（市政公用工程标段）：</w:t>
      </w:r>
      <w:r>
        <w:rPr>
          <w:rStyle w:val="32"/>
          <w:rFonts w:cs="Times New Roman"/>
          <w:b/>
          <w:bCs/>
          <w:color w:val="auto"/>
          <w:kern w:val="0"/>
          <w:sz w:val="24"/>
          <w:szCs w:val="24"/>
          <w:highlight w:val="none"/>
          <w:u w:val="single" w:color="000000"/>
        </w:rPr>
        <w:t>市政公用工程</w:t>
      </w:r>
      <w:r>
        <w:rPr>
          <w:rStyle w:val="32"/>
          <w:rFonts w:hint="eastAsia" w:cs="Times New Roman"/>
          <w:b/>
          <w:bCs/>
          <w:color w:val="auto"/>
          <w:kern w:val="0"/>
          <w:sz w:val="24"/>
          <w:szCs w:val="24"/>
          <w:highlight w:val="none"/>
          <w:u w:val="single" w:color="000000"/>
          <w:lang w:eastAsia="zh-CN"/>
        </w:rPr>
        <w:t>贰级</w:t>
      </w:r>
      <w:r>
        <w:rPr>
          <w:rStyle w:val="32"/>
          <w:rFonts w:cs="Times New Roman"/>
          <w:b/>
          <w:bCs/>
          <w:color w:val="auto"/>
          <w:kern w:val="0"/>
          <w:sz w:val="24"/>
          <w:szCs w:val="24"/>
          <w:highlight w:val="none"/>
          <w:u w:val="single" w:color="000000"/>
        </w:rPr>
        <w:t>及以上注册建造师资格</w:t>
      </w:r>
      <w:r>
        <w:rPr>
          <w:rStyle w:val="32"/>
          <w:rFonts w:cs="Times New Roman"/>
          <w:b/>
          <w:bCs/>
          <w:color w:val="auto"/>
          <w:kern w:val="0"/>
          <w:sz w:val="24"/>
          <w:szCs w:val="24"/>
          <w:highlight w:val="none"/>
        </w:rPr>
        <w:t>；</w:t>
      </w:r>
    </w:p>
    <w:p>
      <w:pPr>
        <w:tabs>
          <w:tab w:val="left" w:pos="900"/>
        </w:tabs>
        <w:snapToGrid w:val="0"/>
        <w:spacing w:line="360" w:lineRule="auto"/>
        <w:ind w:firstLine="480" w:firstLineChars="200"/>
        <w:rPr>
          <w:rStyle w:val="32"/>
          <w:rFonts w:cs="Times New Roman"/>
          <w:b/>
          <w:bCs/>
          <w:color w:val="auto"/>
          <w:kern w:val="0"/>
          <w:sz w:val="24"/>
          <w:szCs w:val="24"/>
          <w:highlight w:val="none"/>
          <w:u w:val="single" w:color="000000"/>
        </w:rPr>
      </w:pPr>
      <w:r>
        <w:rPr>
          <w:rStyle w:val="32"/>
          <w:rFonts w:cs="Times New Roman"/>
          <w:color w:val="auto"/>
          <w:kern w:val="0"/>
          <w:sz w:val="24"/>
          <w:szCs w:val="24"/>
          <w:highlight w:val="none"/>
        </w:rPr>
        <w:t>YXGC-3（公路工程标段）：</w:t>
      </w:r>
      <w:r>
        <w:rPr>
          <w:rStyle w:val="32"/>
          <w:rFonts w:cs="Times New Roman"/>
          <w:b/>
          <w:bCs/>
          <w:color w:val="auto"/>
          <w:kern w:val="0"/>
          <w:sz w:val="24"/>
          <w:szCs w:val="24"/>
          <w:highlight w:val="none"/>
          <w:u w:val="single" w:color="000000"/>
        </w:rPr>
        <w:t>公路工程专业</w:t>
      </w:r>
      <w:r>
        <w:rPr>
          <w:rStyle w:val="32"/>
          <w:rFonts w:hint="eastAsia" w:cs="Times New Roman"/>
          <w:b/>
          <w:bCs/>
          <w:color w:val="auto"/>
          <w:kern w:val="0"/>
          <w:sz w:val="24"/>
          <w:szCs w:val="24"/>
          <w:highlight w:val="none"/>
          <w:u w:val="single" w:color="000000"/>
          <w:lang w:eastAsia="zh-CN"/>
        </w:rPr>
        <w:t>贰级</w:t>
      </w:r>
      <w:r>
        <w:rPr>
          <w:rStyle w:val="32"/>
          <w:rFonts w:cs="Times New Roman"/>
          <w:b/>
          <w:bCs/>
          <w:color w:val="auto"/>
          <w:kern w:val="0"/>
          <w:sz w:val="24"/>
          <w:szCs w:val="24"/>
          <w:highlight w:val="none"/>
          <w:u w:val="single" w:color="000000"/>
        </w:rPr>
        <w:t>及以上注册建造师资格；</w:t>
      </w:r>
    </w:p>
    <w:p>
      <w:pPr>
        <w:tabs>
          <w:tab w:val="left" w:pos="900"/>
        </w:tabs>
        <w:snapToGrid w:val="0"/>
        <w:spacing w:line="360" w:lineRule="auto"/>
        <w:ind w:firstLine="480" w:firstLineChars="200"/>
        <w:rPr>
          <w:rStyle w:val="32"/>
          <w:rFonts w:cs="Times New Roman"/>
          <w:b/>
          <w:bCs/>
          <w:color w:val="auto"/>
          <w:kern w:val="0"/>
          <w:sz w:val="24"/>
          <w:szCs w:val="24"/>
          <w:highlight w:val="none"/>
          <w:u w:val="single" w:color="000000"/>
        </w:rPr>
      </w:pPr>
      <w:r>
        <w:rPr>
          <w:rStyle w:val="32"/>
          <w:rFonts w:cs="Times New Roman"/>
          <w:color w:val="auto"/>
          <w:kern w:val="0"/>
          <w:sz w:val="24"/>
          <w:szCs w:val="24"/>
          <w:highlight w:val="none"/>
        </w:rPr>
        <w:t>YXGC-4（建筑装修装饰工程标段）：</w:t>
      </w:r>
      <w:r>
        <w:rPr>
          <w:rStyle w:val="32"/>
          <w:rFonts w:cs="Times New Roman"/>
          <w:b/>
          <w:bCs/>
          <w:color w:val="auto"/>
          <w:kern w:val="0"/>
          <w:sz w:val="24"/>
          <w:szCs w:val="24"/>
          <w:highlight w:val="none"/>
          <w:u w:val="single" w:color="000000"/>
        </w:rPr>
        <w:t>建筑工程专业</w:t>
      </w:r>
      <w:r>
        <w:rPr>
          <w:rStyle w:val="32"/>
          <w:rFonts w:hint="eastAsia" w:cs="Times New Roman"/>
          <w:b/>
          <w:bCs/>
          <w:color w:val="auto"/>
          <w:kern w:val="0"/>
          <w:sz w:val="24"/>
          <w:szCs w:val="24"/>
          <w:highlight w:val="none"/>
          <w:u w:val="single" w:color="000000"/>
          <w:lang w:eastAsia="zh-CN"/>
        </w:rPr>
        <w:t>贰级</w:t>
      </w:r>
      <w:r>
        <w:rPr>
          <w:rStyle w:val="32"/>
          <w:rFonts w:cs="Times New Roman"/>
          <w:b/>
          <w:bCs/>
          <w:color w:val="auto"/>
          <w:kern w:val="0"/>
          <w:sz w:val="24"/>
          <w:szCs w:val="24"/>
          <w:highlight w:val="none"/>
          <w:u w:val="single" w:color="000000"/>
        </w:rPr>
        <w:t xml:space="preserve">及以上注册建造师资格； </w:t>
      </w:r>
    </w:p>
    <w:p>
      <w:pPr>
        <w:tabs>
          <w:tab w:val="left" w:pos="900"/>
        </w:tabs>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YXGC-5（景观绿化工程标段）：</w:t>
      </w:r>
      <w:r>
        <w:rPr>
          <w:rStyle w:val="32"/>
          <w:rFonts w:cs="Times New Roman"/>
          <w:b/>
          <w:bCs/>
          <w:color w:val="auto"/>
          <w:kern w:val="0"/>
          <w:sz w:val="24"/>
          <w:szCs w:val="24"/>
          <w:highlight w:val="none"/>
          <w:u w:val="single" w:color="000000"/>
        </w:rPr>
        <w:t>市政公用工程</w:t>
      </w:r>
      <w:r>
        <w:rPr>
          <w:rStyle w:val="32"/>
          <w:rFonts w:hint="eastAsia" w:cs="Times New Roman"/>
          <w:b/>
          <w:bCs/>
          <w:color w:val="auto"/>
          <w:kern w:val="0"/>
          <w:sz w:val="24"/>
          <w:szCs w:val="24"/>
          <w:highlight w:val="none"/>
          <w:u w:val="single" w:color="000000"/>
          <w:lang w:eastAsia="zh-CN"/>
        </w:rPr>
        <w:t>贰级</w:t>
      </w:r>
      <w:r>
        <w:rPr>
          <w:rStyle w:val="32"/>
          <w:rFonts w:cs="Times New Roman"/>
          <w:b/>
          <w:bCs/>
          <w:color w:val="auto"/>
          <w:kern w:val="0"/>
          <w:sz w:val="24"/>
          <w:szCs w:val="24"/>
          <w:highlight w:val="none"/>
          <w:u w:val="single" w:color="000000"/>
        </w:rPr>
        <w:t>及以上注册建造师资格或园林绿化及相关专业中级及以上职称</w:t>
      </w:r>
      <w:r>
        <w:rPr>
          <w:rStyle w:val="32"/>
          <w:rFonts w:cs="Times New Roman"/>
          <w:b/>
          <w:bCs/>
          <w:color w:val="auto"/>
          <w:kern w:val="0"/>
          <w:sz w:val="24"/>
          <w:szCs w:val="24"/>
          <w:highlight w:val="none"/>
        </w:rPr>
        <w:t>；</w:t>
      </w:r>
    </w:p>
    <w:p>
      <w:pPr>
        <w:tabs>
          <w:tab w:val="left" w:pos="900"/>
        </w:tabs>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YXGC-6（交通安全设施标段）：</w:t>
      </w:r>
      <w:r>
        <w:rPr>
          <w:rStyle w:val="32"/>
          <w:rFonts w:cs="Times New Roman"/>
          <w:b/>
          <w:bCs/>
          <w:color w:val="auto"/>
          <w:kern w:val="0"/>
          <w:sz w:val="24"/>
          <w:szCs w:val="24"/>
          <w:highlight w:val="none"/>
          <w:u w:val="single" w:color="000000"/>
        </w:rPr>
        <w:t>公路工程专业</w:t>
      </w:r>
      <w:r>
        <w:rPr>
          <w:rStyle w:val="32"/>
          <w:rFonts w:hint="eastAsia" w:cs="Times New Roman"/>
          <w:b/>
          <w:bCs/>
          <w:color w:val="auto"/>
          <w:kern w:val="0"/>
          <w:sz w:val="24"/>
          <w:szCs w:val="24"/>
          <w:highlight w:val="none"/>
          <w:u w:val="single" w:color="000000"/>
          <w:lang w:eastAsia="zh-CN"/>
        </w:rPr>
        <w:t>贰级</w:t>
      </w:r>
      <w:r>
        <w:rPr>
          <w:rStyle w:val="32"/>
          <w:rFonts w:cs="Times New Roman"/>
          <w:b/>
          <w:bCs/>
          <w:color w:val="auto"/>
          <w:kern w:val="0"/>
          <w:sz w:val="24"/>
          <w:szCs w:val="24"/>
          <w:highlight w:val="none"/>
          <w:u w:val="single" w:color="000000"/>
        </w:rPr>
        <w:t>及以上注册建造师资格；</w:t>
      </w:r>
    </w:p>
    <w:p>
      <w:pPr>
        <w:snapToGrid w:val="0"/>
        <w:spacing w:line="360" w:lineRule="auto"/>
        <w:ind w:firstLine="482" w:firstLineChars="200"/>
        <w:jc w:val="left"/>
        <w:rPr>
          <w:rStyle w:val="32"/>
          <w:rFonts w:cs="Times New Roman"/>
          <w:b/>
          <w:bCs/>
          <w:color w:val="auto"/>
          <w:kern w:val="0"/>
          <w:sz w:val="24"/>
          <w:szCs w:val="24"/>
          <w:highlight w:val="none"/>
          <w:u w:val="single" w:color="000000"/>
        </w:rPr>
      </w:pPr>
      <w:r>
        <w:rPr>
          <w:rStyle w:val="32"/>
          <w:rFonts w:cs="Times New Roman"/>
          <w:b/>
          <w:bCs/>
          <w:color w:val="auto"/>
          <w:kern w:val="0"/>
          <w:sz w:val="24"/>
          <w:szCs w:val="24"/>
          <w:highlight w:val="none"/>
          <w:u w:val="single" w:color="000000"/>
        </w:rPr>
        <w:t>除以上资格条件外，所申报的建造师需持有有效的项目经理安全B证。</w:t>
      </w:r>
    </w:p>
    <w:p>
      <w:pPr>
        <w:snapToGrid w:val="0"/>
        <w:spacing w:line="360" w:lineRule="auto"/>
        <w:ind w:firstLine="480" w:firstLineChars="200"/>
        <w:jc w:val="left"/>
        <w:rPr>
          <w:rStyle w:val="32"/>
          <w:rFonts w:cs="Times New Roman"/>
          <w:color w:val="auto"/>
          <w:kern w:val="0"/>
          <w:sz w:val="24"/>
          <w:szCs w:val="24"/>
          <w:highlight w:val="none"/>
        </w:rPr>
      </w:pPr>
      <w:r>
        <w:rPr>
          <w:rStyle w:val="32"/>
          <w:rFonts w:cs="Times New Roman"/>
          <w:color w:val="auto"/>
          <w:kern w:val="0"/>
          <w:sz w:val="24"/>
          <w:szCs w:val="24"/>
          <w:highlight w:val="none"/>
        </w:rPr>
        <w:t>11、企业信用</w:t>
      </w:r>
    </w:p>
    <w:p>
      <w:pPr>
        <w:snapToGrid w:val="0"/>
        <w:spacing w:line="360" w:lineRule="auto"/>
        <w:ind w:firstLine="480" w:firstLineChars="200"/>
        <w:jc w:val="left"/>
        <w:rPr>
          <w:rStyle w:val="32"/>
          <w:rFonts w:cs="Times New Roman"/>
          <w:color w:val="auto"/>
          <w:kern w:val="0"/>
          <w:sz w:val="24"/>
          <w:szCs w:val="24"/>
          <w:highlight w:val="none"/>
        </w:rPr>
      </w:pPr>
      <w:r>
        <w:rPr>
          <w:rStyle w:val="32"/>
          <w:rFonts w:cs="Times New Roman"/>
          <w:color w:val="auto"/>
          <w:kern w:val="0"/>
          <w:sz w:val="24"/>
          <w:szCs w:val="24"/>
          <w:highlight w:val="none"/>
        </w:rPr>
        <w:t>1）未被“信用中国”网站（www.creditchina.gov.cn）列入失信被执行人、重大税收违法案件当事人名单、政府采购严重失信行为记录名单；</w:t>
      </w:r>
    </w:p>
    <w:p>
      <w:pPr>
        <w:snapToGrid w:val="0"/>
        <w:spacing w:line="360" w:lineRule="auto"/>
        <w:ind w:firstLine="480" w:firstLineChars="200"/>
        <w:jc w:val="left"/>
        <w:rPr>
          <w:rStyle w:val="32"/>
          <w:rFonts w:cs="Times New Roman"/>
          <w:color w:val="auto"/>
          <w:kern w:val="0"/>
          <w:sz w:val="24"/>
          <w:szCs w:val="24"/>
          <w:highlight w:val="none"/>
        </w:rPr>
      </w:pPr>
      <w:r>
        <w:rPr>
          <w:rStyle w:val="32"/>
          <w:rFonts w:cs="Times New Roman"/>
          <w:color w:val="auto"/>
          <w:kern w:val="0"/>
          <w:sz w:val="24"/>
          <w:szCs w:val="24"/>
          <w:highlight w:val="none"/>
        </w:rPr>
        <w:t>2）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中标，采购人有权取消其中标资格，并由该供应商承担由此带来可能的一切责任和损失。</w:t>
      </w:r>
    </w:p>
    <w:p>
      <w:pPr>
        <w:snapToGrid w:val="0"/>
        <w:spacing w:line="360" w:lineRule="auto"/>
        <w:ind w:firstLine="480" w:firstLineChars="200"/>
        <w:jc w:val="left"/>
        <w:rPr>
          <w:rStyle w:val="32"/>
          <w:rFonts w:cs="Times New Roman"/>
          <w:color w:val="auto"/>
          <w:kern w:val="0"/>
          <w:sz w:val="24"/>
          <w:szCs w:val="24"/>
          <w:highlight w:val="none"/>
        </w:rPr>
      </w:pPr>
      <w:r>
        <w:rPr>
          <w:rStyle w:val="32"/>
          <w:rFonts w:cs="Times New Roman"/>
          <w:color w:val="auto"/>
          <w:kern w:val="0"/>
          <w:sz w:val="24"/>
          <w:szCs w:val="24"/>
          <w:highlight w:val="none"/>
        </w:rPr>
        <w:t>12、符合相关法律、法规规定的其他要求。</w:t>
      </w:r>
    </w:p>
    <w:p>
      <w:pPr>
        <w:snapToGrid w:val="0"/>
        <w:spacing w:line="360" w:lineRule="auto"/>
        <w:ind w:firstLine="482" w:firstLineChars="200"/>
        <w:rPr>
          <w:rStyle w:val="32"/>
          <w:rFonts w:cs="Times New Roman"/>
          <w:b/>
          <w:bCs/>
          <w:color w:val="auto"/>
          <w:sz w:val="24"/>
          <w:szCs w:val="24"/>
          <w:highlight w:val="none"/>
        </w:rPr>
      </w:pPr>
      <w:r>
        <w:rPr>
          <w:rStyle w:val="32"/>
          <w:rFonts w:cs="Times New Roman"/>
          <w:b/>
          <w:bCs/>
          <w:color w:val="auto"/>
          <w:sz w:val="24"/>
          <w:highlight w:val="none"/>
        </w:rPr>
        <w:t>四、</w:t>
      </w:r>
      <w:r>
        <w:rPr>
          <w:rStyle w:val="32"/>
          <w:rFonts w:cs="Times New Roman"/>
          <w:b/>
          <w:bCs/>
          <w:color w:val="auto"/>
          <w:sz w:val="24"/>
          <w:szCs w:val="24"/>
          <w:highlight w:val="none"/>
        </w:rPr>
        <w:t>招标公告期限</w:t>
      </w:r>
    </w:p>
    <w:p>
      <w:pPr>
        <w:tabs>
          <w:tab w:val="left" w:pos="900"/>
        </w:tabs>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本招标公告在“</w:t>
      </w:r>
      <w:r>
        <w:rPr>
          <w:rStyle w:val="32"/>
          <w:rFonts w:hint="eastAsia" w:cs="Times New Roman"/>
          <w:color w:val="auto"/>
          <w:sz w:val="24"/>
          <w:szCs w:val="24"/>
          <w:highlight w:val="none"/>
          <w:lang w:eastAsia="zh-CN"/>
        </w:rPr>
        <w:t>如皋市交通产业集团有限公司</w:t>
      </w:r>
      <w:r>
        <w:rPr>
          <w:rStyle w:val="32"/>
          <w:rFonts w:cs="Times New Roman"/>
          <w:color w:val="auto"/>
          <w:sz w:val="24"/>
          <w:szCs w:val="24"/>
          <w:highlight w:val="none"/>
        </w:rPr>
        <w:t xml:space="preserve">官网（http://www.rgcig.com/）”发布，公告期限为发布之日起5个工作日。 </w:t>
      </w:r>
    </w:p>
    <w:p>
      <w:pPr>
        <w:tabs>
          <w:tab w:val="left" w:pos="900"/>
        </w:tabs>
        <w:snapToGrid w:val="0"/>
        <w:spacing w:line="360" w:lineRule="auto"/>
        <w:ind w:firstLine="482" w:firstLineChars="200"/>
        <w:rPr>
          <w:rStyle w:val="32"/>
          <w:rFonts w:cs="Times New Roman"/>
          <w:b/>
          <w:bCs/>
          <w:color w:val="auto"/>
          <w:sz w:val="24"/>
          <w:highlight w:val="none"/>
        </w:rPr>
      </w:pPr>
      <w:r>
        <w:rPr>
          <w:rStyle w:val="32"/>
          <w:rFonts w:cs="Times New Roman"/>
          <w:b/>
          <w:bCs/>
          <w:color w:val="auto"/>
          <w:sz w:val="24"/>
          <w:highlight w:val="none"/>
        </w:rPr>
        <w:t>五、投标保证金</w:t>
      </w:r>
    </w:p>
    <w:p>
      <w:pPr>
        <w:tabs>
          <w:tab w:val="left" w:pos="900"/>
        </w:tabs>
        <w:snapToGrid w:val="0"/>
        <w:spacing w:line="360" w:lineRule="auto"/>
        <w:ind w:firstLine="480" w:firstLineChars="200"/>
        <w:rPr>
          <w:rStyle w:val="32"/>
          <w:rFonts w:hint="eastAsia" w:cs="Times New Roman"/>
          <w:color w:val="auto"/>
          <w:sz w:val="24"/>
          <w:szCs w:val="24"/>
          <w:highlight w:val="none"/>
        </w:rPr>
      </w:pPr>
      <w:r>
        <w:rPr>
          <w:rStyle w:val="32"/>
          <w:rFonts w:hint="eastAsia" w:cs="Times New Roman"/>
          <w:color w:val="auto"/>
          <w:sz w:val="24"/>
          <w:szCs w:val="24"/>
          <w:highlight w:val="none"/>
        </w:rPr>
        <w:t>1．本次项目磋商保证金为：人民币</w:t>
      </w:r>
      <w:r>
        <w:rPr>
          <w:rStyle w:val="32"/>
          <w:rFonts w:hint="eastAsia" w:cs="Times New Roman"/>
          <w:color w:val="auto"/>
          <w:sz w:val="24"/>
          <w:szCs w:val="24"/>
          <w:highlight w:val="none"/>
          <w:lang w:val="en-US" w:eastAsia="zh-CN"/>
        </w:rPr>
        <w:t>伍万</w:t>
      </w:r>
      <w:r>
        <w:rPr>
          <w:rStyle w:val="32"/>
          <w:rFonts w:hint="eastAsia" w:cs="Times New Roman"/>
          <w:color w:val="auto"/>
          <w:sz w:val="24"/>
          <w:szCs w:val="24"/>
          <w:highlight w:val="none"/>
        </w:rPr>
        <w:t>元（¥</w:t>
      </w:r>
      <w:r>
        <w:rPr>
          <w:rStyle w:val="32"/>
          <w:rFonts w:hint="eastAsia" w:cs="Times New Roman"/>
          <w:color w:val="auto"/>
          <w:sz w:val="24"/>
          <w:szCs w:val="24"/>
          <w:highlight w:val="none"/>
          <w:lang w:val="en-US" w:eastAsia="zh-CN"/>
        </w:rPr>
        <w:t>500</w:t>
      </w:r>
      <w:r>
        <w:rPr>
          <w:rStyle w:val="32"/>
          <w:rFonts w:hint="eastAsia" w:cs="Times New Roman"/>
          <w:color w:val="auto"/>
          <w:sz w:val="24"/>
          <w:szCs w:val="24"/>
          <w:highlight w:val="none"/>
        </w:rPr>
        <w:t>00元）。</w:t>
      </w:r>
    </w:p>
    <w:p>
      <w:pPr>
        <w:tabs>
          <w:tab w:val="left" w:pos="900"/>
        </w:tabs>
        <w:snapToGrid w:val="0"/>
        <w:spacing w:line="360" w:lineRule="auto"/>
        <w:ind w:firstLine="480" w:firstLineChars="200"/>
        <w:rPr>
          <w:rStyle w:val="32"/>
          <w:rFonts w:hint="eastAsia" w:cs="Times New Roman"/>
          <w:color w:val="auto"/>
          <w:sz w:val="24"/>
          <w:szCs w:val="24"/>
          <w:highlight w:val="none"/>
        </w:rPr>
      </w:pPr>
      <w:r>
        <w:rPr>
          <w:rStyle w:val="32"/>
          <w:rFonts w:hint="eastAsia" w:cs="Times New Roman"/>
          <w:color w:val="auto"/>
          <w:sz w:val="24"/>
          <w:szCs w:val="24"/>
          <w:highlight w:val="none"/>
        </w:rPr>
        <w:t>2．磋商保证金必须选择下列一种形式：电汇、银行汇票。</w:t>
      </w:r>
    </w:p>
    <w:p>
      <w:pPr>
        <w:tabs>
          <w:tab w:val="left" w:pos="900"/>
        </w:tabs>
        <w:snapToGrid w:val="0"/>
        <w:spacing w:line="360" w:lineRule="auto"/>
        <w:ind w:firstLine="480" w:firstLineChars="200"/>
        <w:rPr>
          <w:rStyle w:val="32"/>
          <w:rFonts w:hint="eastAsia" w:cs="Times New Roman"/>
          <w:color w:val="auto"/>
          <w:sz w:val="24"/>
          <w:szCs w:val="24"/>
          <w:highlight w:val="none"/>
        </w:rPr>
      </w:pPr>
      <w:r>
        <w:rPr>
          <w:rStyle w:val="32"/>
          <w:rFonts w:hint="eastAsia" w:cs="Times New Roman"/>
          <w:color w:val="auto"/>
          <w:sz w:val="24"/>
          <w:szCs w:val="24"/>
          <w:highlight w:val="none"/>
        </w:rPr>
        <w:t>（1）若采用电汇，供应商应在上述磋商保证金递交截止之前，将磋商保证金由供应商基本帐户一次性汇入采购人指定账户，否则视为磋商保证金无效。</w:t>
      </w:r>
    </w:p>
    <w:p>
      <w:pPr>
        <w:tabs>
          <w:tab w:val="left" w:pos="900"/>
        </w:tabs>
        <w:snapToGrid w:val="0"/>
        <w:spacing w:line="360" w:lineRule="auto"/>
        <w:ind w:firstLine="480" w:firstLineChars="200"/>
        <w:rPr>
          <w:rStyle w:val="32"/>
          <w:rFonts w:hint="eastAsia" w:cs="Times New Roman"/>
          <w:color w:val="auto"/>
          <w:sz w:val="24"/>
          <w:szCs w:val="24"/>
          <w:highlight w:val="none"/>
        </w:rPr>
      </w:pPr>
      <w:r>
        <w:rPr>
          <w:rStyle w:val="32"/>
          <w:rFonts w:hint="eastAsia" w:cs="Times New Roman"/>
          <w:color w:val="auto"/>
          <w:sz w:val="24"/>
          <w:szCs w:val="24"/>
          <w:highlight w:val="none"/>
        </w:rPr>
        <w:t>（2）若采用银行汇票，供应商应在上述磋商保证金递交截止时间之前，将银行汇票或银行本票原件递交给代理机构，否则视为磋商保证金无效。（无需密封在响应文件内，单独递交）。</w:t>
      </w:r>
    </w:p>
    <w:p>
      <w:pPr>
        <w:tabs>
          <w:tab w:val="left" w:pos="900"/>
        </w:tabs>
        <w:snapToGrid w:val="0"/>
        <w:spacing w:line="360" w:lineRule="auto"/>
        <w:ind w:firstLine="480" w:firstLineChars="200"/>
        <w:rPr>
          <w:rStyle w:val="32"/>
          <w:rFonts w:hint="eastAsia" w:cs="Times New Roman"/>
          <w:color w:val="auto"/>
          <w:sz w:val="24"/>
          <w:szCs w:val="24"/>
          <w:highlight w:val="none"/>
        </w:rPr>
      </w:pPr>
      <w:r>
        <w:rPr>
          <w:rStyle w:val="32"/>
          <w:rFonts w:hint="eastAsia" w:cs="Times New Roman"/>
          <w:color w:val="auto"/>
          <w:sz w:val="24"/>
          <w:szCs w:val="24"/>
          <w:highlight w:val="none"/>
        </w:rPr>
        <w:t>采购人的开户银行及账号如下：</w:t>
      </w:r>
    </w:p>
    <w:p>
      <w:pPr>
        <w:tabs>
          <w:tab w:val="left" w:pos="900"/>
        </w:tabs>
        <w:snapToGrid w:val="0"/>
        <w:spacing w:line="360" w:lineRule="auto"/>
        <w:ind w:firstLine="480" w:firstLineChars="200"/>
        <w:rPr>
          <w:rStyle w:val="32"/>
          <w:rFonts w:hint="eastAsia" w:cs="Times New Roman"/>
          <w:color w:val="auto"/>
          <w:sz w:val="24"/>
          <w:szCs w:val="24"/>
          <w:highlight w:val="none"/>
        </w:rPr>
      </w:pPr>
      <w:r>
        <w:rPr>
          <w:rStyle w:val="32"/>
          <w:rFonts w:hint="eastAsia" w:cs="Times New Roman"/>
          <w:color w:val="auto"/>
          <w:sz w:val="24"/>
          <w:szCs w:val="24"/>
          <w:highlight w:val="none"/>
        </w:rPr>
        <w:t>开户名称：</w:t>
      </w:r>
      <w:r>
        <w:rPr>
          <w:rFonts w:ascii="宋体" w:hAnsi="宋体" w:eastAsia="宋体" w:cs="宋体"/>
          <w:sz w:val="24"/>
          <w:szCs w:val="24"/>
        </w:rPr>
        <w:t>如皋市交通产业集团有限公司</w:t>
      </w:r>
    </w:p>
    <w:p>
      <w:pPr>
        <w:tabs>
          <w:tab w:val="left" w:pos="900"/>
        </w:tabs>
        <w:snapToGrid w:val="0"/>
        <w:spacing w:line="360" w:lineRule="auto"/>
        <w:ind w:firstLine="480" w:firstLineChars="200"/>
        <w:rPr>
          <w:rStyle w:val="32"/>
          <w:rFonts w:hint="eastAsia" w:cs="Times New Roman"/>
          <w:color w:val="auto"/>
          <w:sz w:val="24"/>
          <w:szCs w:val="24"/>
          <w:highlight w:val="none"/>
        </w:rPr>
      </w:pPr>
      <w:r>
        <w:rPr>
          <w:rStyle w:val="32"/>
          <w:rFonts w:hint="eastAsia" w:cs="Times New Roman"/>
          <w:color w:val="auto"/>
          <w:sz w:val="24"/>
          <w:szCs w:val="24"/>
          <w:highlight w:val="none"/>
        </w:rPr>
        <w:t>开户银行：</w:t>
      </w:r>
      <w:r>
        <w:rPr>
          <w:rFonts w:ascii="宋体" w:hAnsi="宋体" w:eastAsia="宋体" w:cs="宋体"/>
          <w:sz w:val="24"/>
          <w:szCs w:val="24"/>
        </w:rPr>
        <w:t>建行如皋支行   </w:t>
      </w:r>
    </w:p>
    <w:p>
      <w:pPr>
        <w:tabs>
          <w:tab w:val="left" w:pos="900"/>
        </w:tabs>
        <w:snapToGrid w:val="0"/>
        <w:spacing w:line="360" w:lineRule="auto"/>
        <w:ind w:firstLine="480" w:firstLineChars="200"/>
        <w:rPr>
          <w:rStyle w:val="32"/>
          <w:rFonts w:hint="eastAsia" w:cs="Times New Roman"/>
          <w:color w:val="auto"/>
          <w:sz w:val="24"/>
          <w:szCs w:val="24"/>
          <w:highlight w:val="none"/>
        </w:rPr>
      </w:pPr>
      <w:r>
        <w:rPr>
          <w:rStyle w:val="32"/>
          <w:rFonts w:hint="eastAsia" w:cs="Times New Roman"/>
          <w:color w:val="auto"/>
          <w:sz w:val="24"/>
          <w:szCs w:val="24"/>
          <w:highlight w:val="none"/>
        </w:rPr>
        <w:t>开户账号：</w:t>
      </w:r>
      <w:r>
        <w:rPr>
          <w:rFonts w:ascii="宋体" w:hAnsi="宋体" w:eastAsia="宋体" w:cs="宋体"/>
          <w:sz w:val="24"/>
          <w:szCs w:val="24"/>
        </w:rPr>
        <w:t>32001647236052508915</w:t>
      </w:r>
      <w:r>
        <w:rPr>
          <w:rStyle w:val="32"/>
          <w:rFonts w:hint="eastAsia" w:cs="Times New Roman"/>
          <w:color w:val="auto"/>
          <w:sz w:val="24"/>
          <w:szCs w:val="24"/>
          <w:highlight w:val="none"/>
        </w:rPr>
        <w:t xml:space="preserve"> </w:t>
      </w:r>
    </w:p>
    <w:p>
      <w:pPr>
        <w:tabs>
          <w:tab w:val="left" w:pos="900"/>
        </w:tabs>
        <w:snapToGrid w:val="0"/>
        <w:spacing w:line="360" w:lineRule="auto"/>
        <w:ind w:firstLine="480" w:firstLineChars="200"/>
        <w:rPr>
          <w:rStyle w:val="32"/>
          <w:rFonts w:hint="eastAsia" w:cs="Times New Roman"/>
          <w:color w:val="auto"/>
          <w:sz w:val="24"/>
          <w:szCs w:val="24"/>
          <w:highlight w:val="none"/>
        </w:rPr>
      </w:pPr>
      <w:r>
        <w:rPr>
          <w:rStyle w:val="32"/>
          <w:rFonts w:hint="eastAsia" w:cs="Times New Roman"/>
          <w:color w:val="auto"/>
          <w:sz w:val="24"/>
          <w:szCs w:val="24"/>
          <w:highlight w:val="none"/>
        </w:rPr>
        <w:t>4、未按上述要求提交磋商保证金的供应商，采购人有权拒绝其响应文件。</w:t>
      </w:r>
    </w:p>
    <w:p>
      <w:pPr>
        <w:pStyle w:val="83"/>
        <w:shd w:val="clear" w:color="auto" w:fill="FFFFFF"/>
        <w:snapToGrid w:val="0"/>
        <w:spacing w:before="0" w:beforeAutospacing="0" w:after="0" w:afterAutospacing="0" w:line="360" w:lineRule="auto"/>
        <w:ind w:firstLine="480"/>
        <w:jc w:val="both"/>
        <w:rPr>
          <w:rStyle w:val="32"/>
          <w:rFonts w:ascii="Times New Roman" w:hAnsi="Times New Roman" w:cs="Times New Roman"/>
          <w:color w:val="auto"/>
          <w:highlight w:val="none"/>
        </w:rPr>
      </w:pPr>
      <w:r>
        <w:rPr>
          <w:rStyle w:val="32"/>
          <w:rFonts w:ascii="Times New Roman" w:hAnsi="Times New Roman" w:cs="Times New Roman"/>
          <w:b/>
          <w:bCs/>
          <w:color w:val="auto"/>
          <w:highlight w:val="none"/>
        </w:rPr>
        <w:t>六、获取招标文件的时间、地点、方式：</w:t>
      </w:r>
    </w:p>
    <w:p>
      <w:pPr>
        <w:pStyle w:val="83"/>
        <w:shd w:val="clear" w:color="auto" w:fill="FFFFFF"/>
        <w:snapToGrid w:val="0"/>
        <w:spacing w:before="0" w:beforeAutospacing="0" w:after="0" w:afterAutospacing="0" w:line="360" w:lineRule="auto"/>
        <w:ind w:firstLine="480"/>
        <w:jc w:val="both"/>
        <w:rPr>
          <w:rStyle w:val="32"/>
          <w:rFonts w:ascii="Times New Roman" w:hAnsi="Times New Roman" w:cs="Times New Roman"/>
          <w:color w:val="auto"/>
          <w:highlight w:val="none"/>
        </w:rPr>
      </w:pPr>
      <w:r>
        <w:rPr>
          <w:rStyle w:val="32"/>
          <w:rFonts w:ascii="Times New Roman" w:hAnsi="Times New Roman" w:cs="Times New Roman"/>
          <w:color w:val="auto"/>
          <w:highlight w:val="none"/>
        </w:rPr>
        <w:t>1、获取招标文件的时间：</w:t>
      </w:r>
      <w:r>
        <w:rPr>
          <w:rStyle w:val="32"/>
          <w:rFonts w:ascii="Times New Roman" w:hAnsi="Times New Roman" w:cs="Times New Roman"/>
          <w:color w:val="auto"/>
          <w:highlight w:val="none"/>
          <w:u w:val="single" w:color="000000"/>
        </w:rPr>
        <w:t>2021年</w:t>
      </w:r>
      <w:r>
        <w:rPr>
          <w:rStyle w:val="32"/>
          <w:rFonts w:hint="eastAsia" w:ascii="Times New Roman" w:hAnsi="Times New Roman" w:cs="Times New Roman"/>
          <w:color w:val="auto"/>
          <w:highlight w:val="none"/>
          <w:u w:val="single" w:color="000000"/>
          <w:lang w:val="en-US" w:eastAsia="zh-CN"/>
        </w:rPr>
        <w:t>11</w:t>
      </w:r>
      <w:r>
        <w:rPr>
          <w:rStyle w:val="32"/>
          <w:rFonts w:ascii="Times New Roman" w:hAnsi="Times New Roman" w:cs="Times New Roman"/>
          <w:color w:val="auto"/>
          <w:highlight w:val="none"/>
          <w:u w:val="single" w:color="000000"/>
        </w:rPr>
        <w:t>月</w:t>
      </w:r>
      <w:r>
        <w:rPr>
          <w:rStyle w:val="32"/>
          <w:rFonts w:hint="eastAsia" w:ascii="Times New Roman" w:hAnsi="Times New Roman" w:cs="Times New Roman"/>
          <w:color w:val="auto"/>
          <w:highlight w:val="none"/>
          <w:u w:val="single" w:color="000000"/>
          <w:lang w:val="en-US" w:eastAsia="zh-CN"/>
        </w:rPr>
        <w:t>8</w:t>
      </w:r>
      <w:r>
        <w:rPr>
          <w:rStyle w:val="32"/>
          <w:rFonts w:ascii="Times New Roman" w:hAnsi="Times New Roman" w:cs="Times New Roman"/>
          <w:color w:val="auto"/>
          <w:highlight w:val="none"/>
          <w:u w:val="single" w:color="000000"/>
        </w:rPr>
        <w:t>日起，2021年</w:t>
      </w:r>
      <w:r>
        <w:rPr>
          <w:rStyle w:val="32"/>
          <w:rFonts w:hint="eastAsia" w:ascii="Times New Roman" w:hAnsi="Times New Roman" w:cs="Times New Roman"/>
          <w:color w:val="auto"/>
          <w:highlight w:val="none"/>
          <w:u w:val="single" w:color="000000"/>
          <w:lang w:val="en-US" w:eastAsia="zh-CN"/>
        </w:rPr>
        <w:t>11</w:t>
      </w:r>
      <w:r>
        <w:rPr>
          <w:rStyle w:val="32"/>
          <w:rFonts w:ascii="Times New Roman" w:hAnsi="Times New Roman" w:cs="Times New Roman"/>
          <w:color w:val="auto"/>
          <w:highlight w:val="none"/>
          <w:u w:val="single" w:color="000000"/>
        </w:rPr>
        <w:t>月</w:t>
      </w:r>
      <w:r>
        <w:rPr>
          <w:rStyle w:val="32"/>
          <w:rFonts w:hint="eastAsia" w:ascii="Times New Roman" w:hAnsi="Times New Roman" w:cs="Times New Roman"/>
          <w:color w:val="auto"/>
          <w:highlight w:val="none"/>
          <w:u w:val="single" w:color="000000"/>
          <w:lang w:val="en-US" w:eastAsia="zh-CN"/>
        </w:rPr>
        <w:t>11</w:t>
      </w:r>
      <w:r>
        <w:rPr>
          <w:rStyle w:val="32"/>
          <w:rFonts w:ascii="Times New Roman" w:hAnsi="Times New Roman" w:cs="Times New Roman"/>
          <w:color w:val="auto"/>
          <w:highlight w:val="none"/>
          <w:u w:val="single" w:color="000000"/>
        </w:rPr>
        <w:t>日止（法定节假日除外），每日上午8时30分到11时，每日下午14时到17时。</w:t>
      </w:r>
    </w:p>
    <w:p>
      <w:pPr>
        <w:pStyle w:val="83"/>
        <w:shd w:val="clear" w:color="auto" w:fill="FFFFFF"/>
        <w:snapToGrid w:val="0"/>
        <w:spacing w:before="0" w:beforeAutospacing="0" w:after="0" w:afterAutospacing="0" w:line="360" w:lineRule="auto"/>
        <w:ind w:firstLine="480"/>
        <w:jc w:val="both"/>
        <w:rPr>
          <w:rStyle w:val="32"/>
          <w:rFonts w:ascii="Times New Roman" w:hAnsi="Times New Roman" w:cs="Times New Roman"/>
          <w:color w:val="auto"/>
          <w:highlight w:val="none"/>
        </w:rPr>
      </w:pPr>
      <w:r>
        <w:rPr>
          <w:rStyle w:val="32"/>
          <w:rFonts w:ascii="Times New Roman" w:hAnsi="Times New Roman" w:cs="Times New Roman"/>
          <w:color w:val="auto"/>
          <w:highlight w:val="none"/>
        </w:rPr>
        <w:t>2、</w:t>
      </w:r>
      <w:r>
        <w:rPr>
          <w:rStyle w:val="32"/>
          <w:rFonts w:ascii="Times New Roman" w:hAnsi="Times New Roman" w:cs="Times New Roman"/>
          <w:bCs/>
          <w:color w:val="auto"/>
          <w:highlight w:val="none"/>
        </w:rPr>
        <w:t>获取招标文件的方式：可以至代理机构现场申请，也可以联系代理机构通过电子方式进行申请（联系人：</w:t>
      </w:r>
      <w:r>
        <w:rPr>
          <w:rStyle w:val="32"/>
          <w:rFonts w:hint="eastAsia" w:ascii="Times New Roman" w:hAnsi="Times New Roman" w:cs="Times New Roman"/>
          <w:bCs/>
          <w:color w:val="auto"/>
          <w:highlight w:val="none"/>
          <w:lang w:val="en-US" w:eastAsia="zh-CN"/>
        </w:rPr>
        <w:t>钱先生</w:t>
      </w:r>
      <w:r>
        <w:rPr>
          <w:rStyle w:val="32"/>
          <w:rFonts w:ascii="Times New Roman" w:hAnsi="Times New Roman" w:cs="Times New Roman"/>
          <w:bCs/>
          <w:color w:val="auto"/>
          <w:highlight w:val="none"/>
        </w:rPr>
        <w:t>，</w:t>
      </w:r>
      <w:r>
        <w:rPr>
          <w:rStyle w:val="32"/>
          <w:rFonts w:hint="eastAsia" w:ascii="Times New Roman" w:hAnsi="Times New Roman" w:cs="Times New Roman"/>
          <w:bCs/>
          <w:color w:val="auto"/>
          <w:highlight w:val="none"/>
          <w:lang w:val="en-US" w:eastAsia="zh-CN"/>
        </w:rPr>
        <w:t>15162861908，</w:t>
      </w:r>
      <w:r>
        <w:rPr>
          <w:rStyle w:val="32"/>
          <w:rFonts w:ascii="Times New Roman" w:hAnsi="Times New Roman" w:cs="Times New Roman"/>
          <w:color w:val="auto"/>
          <w:highlight w:val="none"/>
          <w:u w:val="single"/>
        </w:rPr>
        <w:t>南通市崇川区崇川路58号南通产业研究院9号A1302-A1304室</w:t>
      </w:r>
      <w:r>
        <w:rPr>
          <w:rStyle w:val="32"/>
          <w:rFonts w:ascii="Times New Roman" w:hAnsi="Times New Roman" w:cs="Times New Roman"/>
          <w:bCs/>
          <w:color w:val="auto"/>
          <w:highlight w:val="none"/>
        </w:rPr>
        <w:t>）</w:t>
      </w:r>
    </w:p>
    <w:p>
      <w:pPr>
        <w:pStyle w:val="83"/>
        <w:shd w:val="clear" w:color="auto" w:fill="FFFFFF"/>
        <w:snapToGrid w:val="0"/>
        <w:spacing w:before="0" w:beforeAutospacing="0" w:after="0" w:afterAutospacing="0" w:line="360" w:lineRule="auto"/>
        <w:ind w:firstLine="480"/>
        <w:jc w:val="both"/>
        <w:rPr>
          <w:rStyle w:val="32"/>
          <w:rFonts w:ascii="Times New Roman" w:hAnsi="Times New Roman" w:cs="Times New Roman"/>
          <w:color w:val="auto"/>
          <w:highlight w:val="none"/>
        </w:rPr>
      </w:pPr>
      <w:r>
        <w:rPr>
          <w:rStyle w:val="32"/>
          <w:rFonts w:ascii="Times New Roman" w:hAnsi="Times New Roman" w:cs="Times New Roman"/>
          <w:bCs/>
          <w:color w:val="auto"/>
          <w:highlight w:val="none"/>
        </w:rPr>
        <w:t>（1）投标人的法定代表人领取文件时应提供企业营业执照和法定代表人的身份证明书；</w:t>
      </w:r>
    </w:p>
    <w:p>
      <w:pPr>
        <w:pStyle w:val="83"/>
        <w:shd w:val="clear" w:color="auto" w:fill="FFFFFF"/>
        <w:snapToGrid w:val="0"/>
        <w:spacing w:before="0" w:beforeAutospacing="0" w:after="0" w:afterAutospacing="0" w:line="360" w:lineRule="auto"/>
        <w:ind w:firstLine="480"/>
        <w:jc w:val="both"/>
        <w:rPr>
          <w:rStyle w:val="32"/>
          <w:rFonts w:ascii="Times New Roman" w:hAnsi="Times New Roman" w:cs="Times New Roman"/>
          <w:bCs/>
          <w:color w:val="auto"/>
          <w:highlight w:val="none"/>
        </w:rPr>
      </w:pPr>
      <w:r>
        <w:rPr>
          <w:rStyle w:val="32"/>
          <w:rFonts w:ascii="Times New Roman" w:hAnsi="Times New Roman" w:cs="Times New Roman"/>
          <w:bCs/>
          <w:color w:val="auto"/>
          <w:highlight w:val="none"/>
        </w:rPr>
        <w:t>（2）投标人的法定代表人的授权委托人领取文件时应提供企业营业执照和法定代表人的授权委托书。</w:t>
      </w:r>
    </w:p>
    <w:p>
      <w:pPr>
        <w:pStyle w:val="83"/>
        <w:shd w:val="clear" w:color="auto" w:fill="FFFFFF"/>
        <w:snapToGrid w:val="0"/>
        <w:spacing w:before="0" w:beforeAutospacing="0" w:after="0" w:afterAutospacing="0" w:line="360" w:lineRule="auto"/>
        <w:ind w:firstLine="480"/>
        <w:jc w:val="both"/>
        <w:rPr>
          <w:rStyle w:val="32"/>
          <w:rFonts w:ascii="Times New Roman" w:hAnsi="Times New Roman" w:cs="Times New Roman"/>
          <w:bCs/>
          <w:color w:val="auto"/>
          <w:highlight w:val="none"/>
        </w:rPr>
      </w:pPr>
      <w:r>
        <w:rPr>
          <w:rStyle w:val="32"/>
          <w:rFonts w:ascii="Times New Roman" w:hAnsi="Times New Roman" w:cs="Times New Roman"/>
          <w:b/>
          <w:bCs/>
          <w:color w:val="auto"/>
          <w:highlight w:val="none"/>
          <w:u w:val="single" w:color="000000"/>
        </w:rPr>
        <w:t>前来获取招标文件之前请先与招标代理机构人员联系！</w:t>
      </w:r>
    </w:p>
    <w:p>
      <w:pPr>
        <w:pStyle w:val="83"/>
        <w:shd w:val="clear" w:color="auto" w:fill="FFFFFF"/>
        <w:snapToGrid w:val="0"/>
        <w:spacing w:before="0" w:beforeAutospacing="0" w:after="0" w:afterAutospacing="0" w:line="360" w:lineRule="auto"/>
        <w:ind w:firstLine="480"/>
        <w:jc w:val="both"/>
        <w:rPr>
          <w:rStyle w:val="32"/>
          <w:rFonts w:ascii="Times New Roman" w:hAnsi="Times New Roman" w:cs="Times New Roman"/>
          <w:color w:val="auto"/>
          <w:highlight w:val="none"/>
        </w:rPr>
      </w:pPr>
      <w:r>
        <w:rPr>
          <w:rStyle w:val="32"/>
          <w:rFonts w:ascii="Times New Roman" w:hAnsi="Times New Roman" w:cs="Times New Roman"/>
          <w:color w:val="auto"/>
          <w:highlight w:val="none"/>
        </w:rPr>
        <w:t>4、相关费用：</w:t>
      </w:r>
    </w:p>
    <w:p>
      <w:pPr>
        <w:tabs>
          <w:tab w:val="left" w:pos="900"/>
        </w:tabs>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本次招标文件工本费为300元/标段，投标人于报名时以现金形式缴纳，文件一经售出，一律不退。</w:t>
      </w:r>
    </w:p>
    <w:p>
      <w:pPr>
        <w:snapToGrid w:val="0"/>
        <w:spacing w:line="360" w:lineRule="auto"/>
        <w:ind w:firstLine="482" w:firstLineChars="200"/>
        <w:jc w:val="left"/>
        <w:rPr>
          <w:rStyle w:val="32"/>
          <w:rFonts w:cs="Times New Roman"/>
          <w:b/>
          <w:bCs/>
          <w:color w:val="auto"/>
          <w:kern w:val="0"/>
          <w:sz w:val="24"/>
          <w:szCs w:val="24"/>
          <w:highlight w:val="none"/>
        </w:rPr>
      </w:pPr>
      <w:r>
        <w:rPr>
          <w:rStyle w:val="32"/>
          <w:rFonts w:cs="Times New Roman"/>
          <w:b/>
          <w:bCs/>
          <w:color w:val="auto"/>
          <w:kern w:val="0"/>
          <w:sz w:val="24"/>
          <w:szCs w:val="24"/>
          <w:highlight w:val="none"/>
        </w:rPr>
        <w:t>七、投标文件的递交</w:t>
      </w:r>
    </w:p>
    <w:p>
      <w:pPr>
        <w:spacing w:line="360" w:lineRule="auto"/>
        <w:ind w:firstLine="480" w:firstLineChars="200"/>
        <w:jc w:val="left"/>
        <w:rPr>
          <w:rStyle w:val="32"/>
          <w:rFonts w:cs="Times New Roman"/>
          <w:bCs/>
          <w:color w:val="auto"/>
          <w:kern w:val="0"/>
          <w:sz w:val="24"/>
          <w:szCs w:val="24"/>
          <w:highlight w:val="none"/>
        </w:rPr>
      </w:pPr>
      <w:r>
        <w:rPr>
          <w:rStyle w:val="32"/>
          <w:rFonts w:cs="Times New Roman"/>
          <w:bCs/>
          <w:color w:val="auto"/>
          <w:kern w:val="0"/>
          <w:sz w:val="24"/>
          <w:szCs w:val="24"/>
          <w:highlight w:val="none"/>
        </w:rPr>
        <w:t>（1）投标文件递交截止时间（投标截止时间，下同）为：</w:t>
      </w:r>
    </w:p>
    <w:p>
      <w:pPr>
        <w:tabs>
          <w:tab w:val="left" w:pos="900"/>
        </w:tabs>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YXGC-1（建筑工程标段）：</w:t>
      </w:r>
      <w:r>
        <w:rPr>
          <w:rStyle w:val="32"/>
          <w:rFonts w:cs="Times New Roman"/>
          <w:b/>
          <w:bCs/>
          <w:color w:val="auto"/>
          <w:kern w:val="0"/>
          <w:sz w:val="24"/>
          <w:szCs w:val="24"/>
          <w:highlight w:val="none"/>
          <w:u w:val="single" w:color="000000"/>
        </w:rPr>
        <w:t xml:space="preserve">  2021年1</w:t>
      </w:r>
      <w:r>
        <w:rPr>
          <w:rStyle w:val="32"/>
          <w:rFonts w:hint="eastAsia" w:cs="Times New Roman"/>
          <w:b/>
          <w:bCs/>
          <w:color w:val="auto"/>
          <w:kern w:val="0"/>
          <w:sz w:val="24"/>
          <w:szCs w:val="24"/>
          <w:highlight w:val="none"/>
          <w:u w:val="single" w:color="000000"/>
          <w:lang w:val="en-US" w:eastAsia="zh-CN"/>
        </w:rPr>
        <w:t>1</w:t>
      </w:r>
      <w:r>
        <w:rPr>
          <w:rStyle w:val="32"/>
          <w:rFonts w:cs="Times New Roman"/>
          <w:b/>
          <w:bCs/>
          <w:color w:val="auto"/>
          <w:kern w:val="0"/>
          <w:sz w:val="24"/>
          <w:szCs w:val="24"/>
          <w:highlight w:val="none"/>
          <w:u w:val="single" w:color="000000"/>
        </w:rPr>
        <w:t>月</w:t>
      </w:r>
      <w:r>
        <w:rPr>
          <w:rStyle w:val="32"/>
          <w:rFonts w:hint="eastAsia" w:cs="Times New Roman"/>
          <w:b/>
          <w:bCs/>
          <w:color w:val="auto"/>
          <w:kern w:val="0"/>
          <w:sz w:val="24"/>
          <w:szCs w:val="24"/>
          <w:highlight w:val="none"/>
          <w:u w:val="single" w:color="000000"/>
          <w:lang w:val="en-US" w:eastAsia="zh-CN"/>
        </w:rPr>
        <w:t>15</w:t>
      </w:r>
      <w:r>
        <w:rPr>
          <w:rStyle w:val="32"/>
          <w:rFonts w:cs="Times New Roman"/>
          <w:b/>
          <w:bCs/>
          <w:color w:val="auto"/>
          <w:kern w:val="0"/>
          <w:sz w:val="24"/>
          <w:szCs w:val="24"/>
          <w:highlight w:val="none"/>
          <w:u w:val="single" w:color="000000"/>
        </w:rPr>
        <w:t>日09:30分；</w:t>
      </w:r>
    </w:p>
    <w:p>
      <w:pPr>
        <w:tabs>
          <w:tab w:val="left" w:pos="900"/>
        </w:tabs>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YXGC-2（市政公用工程标段）：</w:t>
      </w:r>
      <w:r>
        <w:rPr>
          <w:rStyle w:val="32"/>
          <w:rFonts w:cs="Times New Roman"/>
          <w:b/>
          <w:bCs/>
          <w:color w:val="auto"/>
          <w:kern w:val="0"/>
          <w:sz w:val="24"/>
          <w:szCs w:val="24"/>
          <w:highlight w:val="none"/>
          <w:u w:val="single" w:color="000000"/>
        </w:rPr>
        <w:t xml:space="preserve">  2021年1</w:t>
      </w:r>
      <w:r>
        <w:rPr>
          <w:rStyle w:val="32"/>
          <w:rFonts w:hint="eastAsia" w:cs="Times New Roman"/>
          <w:b/>
          <w:bCs/>
          <w:color w:val="auto"/>
          <w:kern w:val="0"/>
          <w:sz w:val="24"/>
          <w:szCs w:val="24"/>
          <w:highlight w:val="none"/>
          <w:u w:val="single" w:color="000000"/>
          <w:lang w:val="en-US" w:eastAsia="zh-CN"/>
        </w:rPr>
        <w:t>1</w:t>
      </w:r>
      <w:r>
        <w:rPr>
          <w:rStyle w:val="32"/>
          <w:rFonts w:cs="Times New Roman"/>
          <w:b/>
          <w:bCs/>
          <w:color w:val="auto"/>
          <w:kern w:val="0"/>
          <w:sz w:val="24"/>
          <w:szCs w:val="24"/>
          <w:highlight w:val="none"/>
          <w:u w:val="single" w:color="000000"/>
        </w:rPr>
        <w:t>月</w:t>
      </w:r>
      <w:r>
        <w:rPr>
          <w:rStyle w:val="32"/>
          <w:rFonts w:hint="eastAsia" w:cs="Times New Roman"/>
          <w:b/>
          <w:bCs/>
          <w:color w:val="auto"/>
          <w:kern w:val="0"/>
          <w:sz w:val="24"/>
          <w:szCs w:val="24"/>
          <w:highlight w:val="none"/>
          <w:u w:val="single" w:color="000000"/>
          <w:lang w:val="en-US" w:eastAsia="zh-CN"/>
        </w:rPr>
        <w:t>15</w:t>
      </w:r>
      <w:r>
        <w:rPr>
          <w:rStyle w:val="32"/>
          <w:rFonts w:cs="Times New Roman"/>
          <w:b/>
          <w:bCs/>
          <w:color w:val="auto"/>
          <w:kern w:val="0"/>
          <w:sz w:val="24"/>
          <w:szCs w:val="24"/>
          <w:highlight w:val="none"/>
          <w:u w:val="single" w:color="000000"/>
        </w:rPr>
        <w:t>日09:30分；</w:t>
      </w:r>
      <w:r>
        <w:rPr>
          <w:rStyle w:val="32"/>
          <w:rFonts w:cs="Times New Roman"/>
          <w:b/>
          <w:bCs/>
          <w:color w:val="auto"/>
          <w:kern w:val="0"/>
          <w:sz w:val="24"/>
          <w:szCs w:val="24"/>
          <w:highlight w:val="none"/>
        </w:rPr>
        <w:t>；</w:t>
      </w:r>
    </w:p>
    <w:p>
      <w:pPr>
        <w:tabs>
          <w:tab w:val="left" w:pos="900"/>
        </w:tabs>
        <w:spacing w:line="360" w:lineRule="auto"/>
        <w:ind w:firstLine="480" w:firstLineChars="200"/>
        <w:rPr>
          <w:rStyle w:val="32"/>
          <w:rFonts w:cs="Times New Roman"/>
          <w:b/>
          <w:bCs/>
          <w:color w:val="auto"/>
          <w:kern w:val="0"/>
          <w:sz w:val="24"/>
          <w:szCs w:val="24"/>
          <w:highlight w:val="none"/>
          <w:u w:val="single" w:color="000000"/>
        </w:rPr>
      </w:pPr>
      <w:r>
        <w:rPr>
          <w:rStyle w:val="32"/>
          <w:rFonts w:cs="Times New Roman"/>
          <w:color w:val="auto"/>
          <w:kern w:val="0"/>
          <w:sz w:val="24"/>
          <w:szCs w:val="24"/>
          <w:highlight w:val="none"/>
        </w:rPr>
        <w:t>YXGC-3（</w:t>
      </w:r>
      <w:r>
        <w:rPr>
          <w:rStyle w:val="32"/>
          <w:rFonts w:cs="Times New Roman"/>
          <w:bCs/>
          <w:color w:val="auto"/>
          <w:kern w:val="0"/>
          <w:sz w:val="24"/>
          <w:szCs w:val="24"/>
          <w:highlight w:val="none"/>
        </w:rPr>
        <w:t>公路工程标段</w:t>
      </w:r>
      <w:r>
        <w:rPr>
          <w:rStyle w:val="32"/>
          <w:rFonts w:cs="Times New Roman"/>
          <w:color w:val="auto"/>
          <w:kern w:val="0"/>
          <w:sz w:val="24"/>
          <w:szCs w:val="24"/>
          <w:highlight w:val="none"/>
        </w:rPr>
        <w:t>）：</w:t>
      </w:r>
      <w:r>
        <w:rPr>
          <w:rStyle w:val="32"/>
          <w:rFonts w:cs="Times New Roman"/>
          <w:b/>
          <w:bCs/>
          <w:color w:val="auto"/>
          <w:kern w:val="0"/>
          <w:sz w:val="24"/>
          <w:szCs w:val="24"/>
          <w:highlight w:val="none"/>
          <w:u w:val="single" w:color="000000"/>
        </w:rPr>
        <w:t xml:space="preserve">  2021年1</w:t>
      </w:r>
      <w:r>
        <w:rPr>
          <w:rStyle w:val="32"/>
          <w:rFonts w:hint="eastAsia" w:cs="Times New Roman"/>
          <w:b/>
          <w:bCs/>
          <w:color w:val="auto"/>
          <w:kern w:val="0"/>
          <w:sz w:val="24"/>
          <w:szCs w:val="24"/>
          <w:highlight w:val="none"/>
          <w:u w:val="single" w:color="000000"/>
          <w:lang w:val="en-US" w:eastAsia="zh-CN"/>
        </w:rPr>
        <w:t>1</w:t>
      </w:r>
      <w:r>
        <w:rPr>
          <w:rStyle w:val="32"/>
          <w:rFonts w:cs="Times New Roman"/>
          <w:b/>
          <w:bCs/>
          <w:color w:val="auto"/>
          <w:kern w:val="0"/>
          <w:sz w:val="24"/>
          <w:szCs w:val="24"/>
          <w:highlight w:val="none"/>
          <w:u w:val="single" w:color="000000"/>
        </w:rPr>
        <w:t>月</w:t>
      </w:r>
      <w:r>
        <w:rPr>
          <w:rStyle w:val="32"/>
          <w:rFonts w:hint="eastAsia" w:cs="Times New Roman"/>
          <w:b/>
          <w:bCs/>
          <w:color w:val="auto"/>
          <w:kern w:val="0"/>
          <w:sz w:val="24"/>
          <w:szCs w:val="24"/>
          <w:highlight w:val="none"/>
          <w:u w:val="single" w:color="000000"/>
          <w:lang w:val="en-US" w:eastAsia="zh-CN"/>
        </w:rPr>
        <w:t>15</w:t>
      </w:r>
      <w:r>
        <w:rPr>
          <w:rStyle w:val="32"/>
          <w:rFonts w:cs="Times New Roman"/>
          <w:b/>
          <w:bCs/>
          <w:color w:val="auto"/>
          <w:kern w:val="0"/>
          <w:sz w:val="24"/>
          <w:szCs w:val="24"/>
          <w:highlight w:val="none"/>
          <w:u w:val="single" w:color="000000"/>
        </w:rPr>
        <w:t xml:space="preserve">日09:30分；； </w:t>
      </w:r>
    </w:p>
    <w:p>
      <w:pPr>
        <w:tabs>
          <w:tab w:val="left" w:pos="900"/>
        </w:tabs>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YXGC-4（建筑装修装饰工程标段）：</w:t>
      </w:r>
      <w:r>
        <w:rPr>
          <w:rStyle w:val="32"/>
          <w:rFonts w:cs="Times New Roman"/>
          <w:b/>
          <w:bCs/>
          <w:color w:val="auto"/>
          <w:kern w:val="0"/>
          <w:sz w:val="24"/>
          <w:szCs w:val="24"/>
          <w:highlight w:val="none"/>
          <w:u w:val="single" w:color="000000"/>
        </w:rPr>
        <w:t xml:space="preserve">  2021年1</w:t>
      </w:r>
      <w:r>
        <w:rPr>
          <w:rStyle w:val="32"/>
          <w:rFonts w:hint="eastAsia" w:cs="Times New Roman"/>
          <w:b/>
          <w:bCs/>
          <w:color w:val="auto"/>
          <w:kern w:val="0"/>
          <w:sz w:val="24"/>
          <w:szCs w:val="24"/>
          <w:highlight w:val="none"/>
          <w:u w:val="single" w:color="000000"/>
          <w:lang w:val="en-US" w:eastAsia="zh-CN"/>
        </w:rPr>
        <w:t>1</w:t>
      </w:r>
      <w:r>
        <w:rPr>
          <w:rStyle w:val="32"/>
          <w:rFonts w:cs="Times New Roman"/>
          <w:b/>
          <w:bCs/>
          <w:color w:val="auto"/>
          <w:kern w:val="0"/>
          <w:sz w:val="24"/>
          <w:szCs w:val="24"/>
          <w:highlight w:val="none"/>
          <w:u w:val="single" w:color="000000"/>
        </w:rPr>
        <w:t>月</w:t>
      </w:r>
      <w:r>
        <w:rPr>
          <w:rStyle w:val="32"/>
          <w:rFonts w:hint="eastAsia" w:cs="Times New Roman"/>
          <w:b/>
          <w:bCs/>
          <w:color w:val="auto"/>
          <w:kern w:val="0"/>
          <w:sz w:val="24"/>
          <w:szCs w:val="24"/>
          <w:highlight w:val="none"/>
          <w:u w:val="single" w:color="000000"/>
          <w:lang w:val="en-US" w:eastAsia="zh-CN"/>
        </w:rPr>
        <w:t>15</w:t>
      </w:r>
      <w:r>
        <w:rPr>
          <w:rStyle w:val="32"/>
          <w:rFonts w:cs="Times New Roman"/>
          <w:b/>
          <w:bCs/>
          <w:color w:val="auto"/>
          <w:kern w:val="0"/>
          <w:sz w:val="24"/>
          <w:szCs w:val="24"/>
          <w:highlight w:val="none"/>
          <w:u w:val="single" w:color="000000"/>
        </w:rPr>
        <w:t>日09:30分；</w:t>
      </w:r>
    </w:p>
    <w:p>
      <w:pPr>
        <w:tabs>
          <w:tab w:val="left" w:pos="900"/>
        </w:tabs>
        <w:spacing w:line="360" w:lineRule="auto"/>
        <w:ind w:firstLine="480" w:firstLineChars="200"/>
        <w:rPr>
          <w:rStyle w:val="32"/>
          <w:rFonts w:cs="Times New Roman"/>
          <w:color w:val="auto"/>
          <w:kern w:val="0"/>
          <w:sz w:val="24"/>
          <w:szCs w:val="24"/>
          <w:highlight w:val="none"/>
        </w:rPr>
      </w:pPr>
      <w:r>
        <w:rPr>
          <w:rStyle w:val="32"/>
          <w:rFonts w:cs="Times New Roman"/>
          <w:bCs/>
          <w:color w:val="auto"/>
          <w:kern w:val="0"/>
          <w:sz w:val="24"/>
          <w:szCs w:val="24"/>
          <w:highlight w:val="none"/>
        </w:rPr>
        <w:t>YXGC-5（</w:t>
      </w:r>
      <w:r>
        <w:rPr>
          <w:rStyle w:val="32"/>
          <w:rFonts w:cs="Times New Roman"/>
          <w:color w:val="auto"/>
          <w:kern w:val="0"/>
          <w:sz w:val="24"/>
          <w:szCs w:val="24"/>
          <w:highlight w:val="none"/>
        </w:rPr>
        <w:t>景观绿化工程标段</w:t>
      </w:r>
      <w:r>
        <w:rPr>
          <w:rStyle w:val="32"/>
          <w:rFonts w:cs="Times New Roman"/>
          <w:bCs/>
          <w:color w:val="auto"/>
          <w:kern w:val="0"/>
          <w:sz w:val="24"/>
          <w:szCs w:val="24"/>
          <w:highlight w:val="none"/>
        </w:rPr>
        <w:t>）：</w:t>
      </w:r>
      <w:r>
        <w:rPr>
          <w:rStyle w:val="32"/>
          <w:rFonts w:cs="Times New Roman"/>
          <w:b/>
          <w:bCs/>
          <w:color w:val="auto"/>
          <w:kern w:val="0"/>
          <w:sz w:val="24"/>
          <w:szCs w:val="24"/>
          <w:highlight w:val="none"/>
          <w:u w:val="single" w:color="000000"/>
        </w:rPr>
        <w:t xml:space="preserve">  2021年1</w:t>
      </w:r>
      <w:r>
        <w:rPr>
          <w:rStyle w:val="32"/>
          <w:rFonts w:hint="eastAsia" w:cs="Times New Roman"/>
          <w:b/>
          <w:bCs/>
          <w:color w:val="auto"/>
          <w:kern w:val="0"/>
          <w:sz w:val="24"/>
          <w:szCs w:val="24"/>
          <w:highlight w:val="none"/>
          <w:u w:val="single" w:color="000000"/>
          <w:lang w:val="en-US" w:eastAsia="zh-CN"/>
        </w:rPr>
        <w:t>1</w:t>
      </w:r>
      <w:r>
        <w:rPr>
          <w:rStyle w:val="32"/>
          <w:rFonts w:cs="Times New Roman"/>
          <w:b/>
          <w:bCs/>
          <w:color w:val="auto"/>
          <w:kern w:val="0"/>
          <w:sz w:val="24"/>
          <w:szCs w:val="24"/>
          <w:highlight w:val="none"/>
          <w:u w:val="single" w:color="000000"/>
        </w:rPr>
        <w:t>月</w:t>
      </w:r>
      <w:r>
        <w:rPr>
          <w:rStyle w:val="32"/>
          <w:rFonts w:hint="eastAsia" w:cs="Times New Roman"/>
          <w:b/>
          <w:bCs/>
          <w:color w:val="auto"/>
          <w:kern w:val="0"/>
          <w:sz w:val="24"/>
          <w:szCs w:val="24"/>
          <w:highlight w:val="none"/>
          <w:u w:val="single" w:color="000000"/>
          <w:lang w:val="en-US" w:eastAsia="zh-CN"/>
        </w:rPr>
        <w:t>15</w:t>
      </w:r>
      <w:r>
        <w:rPr>
          <w:rStyle w:val="32"/>
          <w:rFonts w:cs="Times New Roman"/>
          <w:b/>
          <w:bCs/>
          <w:color w:val="auto"/>
          <w:kern w:val="0"/>
          <w:sz w:val="24"/>
          <w:szCs w:val="24"/>
          <w:highlight w:val="none"/>
          <w:u w:val="single" w:color="000000"/>
        </w:rPr>
        <w:t>日09:30分；</w:t>
      </w:r>
    </w:p>
    <w:p>
      <w:pPr>
        <w:tabs>
          <w:tab w:val="left" w:pos="900"/>
        </w:tabs>
        <w:spacing w:line="360" w:lineRule="auto"/>
        <w:ind w:firstLine="480" w:firstLineChars="200"/>
        <w:rPr>
          <w:rStyle w:val="32"/>
          <w:rFonts w:cs="Times New Roman"/>
          <w:color w:val="auto"/>
          <w:kern w:val="0"/>
          <w:sz w:val="24"/>
          <w:szCs w:val="24"/>
          <w:highlight w:val="none"/>
        </w:rPr>
      </w:pPr>
      <w:r>
        <w:rPr>
          <w:rStyle w:val="32"/>
          <w:rFonts w:cs="Times New Roman"/>
          <w:bCs/>
          <w:color w:val="auto"/>
          <w:kern w:val="0"/>
          <w:sz w:val="24"/>
          <w:szCs w:val="24"/>
          <w:highlight w:val="none"/>
        </w:rPr>
        <w:t>YXGC-6（交通安全设施标段）：</w:t>
      </w:r>
      <w:r>
        <w:rPr>
          <w:rStyle w:val="32"/>
          <w:rFonts w:cs="Times New Roman"/>
          <w:b/>
          <w:bCs/>
          <w:color w:val="auto"/>
          <w:kern w:val="0"/>
          <w:sz w:val="24"/>
          <w:szCs w:val="24"/>
          <w:highlight w:val="none"/>
          <w:u w:val="single" w:color="000000"/>
        </w:rPr>
        <w:t xml:space="preserve">  2021年1</w:t>
      </w:r>
      <w:r>
        <w:rPr>
          <w:rStyle w:val="32"/>
          <w:rFonts w:hint="eastAsia" w:cs="Times New Roman"/>
          <w:b/>
          <w:bCs/>
          <w:color w:val="auto"/>
          <w:kern w:val="0"/>
          <w:sz w:val="24"/>
          <w:szCs w:val="24"/>
          <w:highlight w:val="none"/>
          <w:u w:val="single" w:color="000000"/>
          <w:lang w:val="en-US" w:eastAsia="zh-CN"/>
        </w:rPr>
        <w:t>1</w:t>
      </w:r>
      <w:r>
        <w:rPr>
          <w:rStyle w:val="32"/>
          <w:rFonts w:cs="Times New Roman"/>
          <w:b/>
          <w:bCs/>
          <w:color w:val="auto"/>
          <w:kern w:val="0"/>
          <w:sz w:val="24"/>
          <w:szCs w:val="24"/>
          <w:highlight w:val="none"/>
          <w:u w:val="single" w:color="000000"/>
        </w:rPr>
        <w:t>月</w:t>
      </w:r>
      <w:r>
        <w:rPr>
          <w:rStyle w:val="32"/>
          <w:rFonts w:hint="eastAsia" w:cs="Times New Roman"/>
          <w:b/>
          <w:bCs/>
          <w:color w:val="auto"/>
          <w:kern w:val="0"/>
          <w:sz w:val="24"/>
          <w:szCs w:val="24"/>
          <w:highlight w:val="none"/>
          <w:u w:val="single" w:color="000000"/>
          <w:lang w:val="en-US" w:eastAsia="zh-CN"/>
        </w:rPr>
        <w:t>15</w:t>
      </w:r>
      <w:r>
        <w:rPr>
          <w:rStyle w:val="32"/>
          <w:rFonts w:cs="Times New Roman"/>
          <w:b/>
          <w:bCs/>
          <w:color w:val="auto"/>
          <w:kern w:val="0"/>
          <w:sz w:val="24"/>
          <w:szCs w:val="24"/>
          <w:highlight w:val="none"/>
          <w:u w:val="single" w:color="000000"/>
        </w:rPr>
        <w:t>日09:30分；</w:t>
      </w:r>
    </w:p>
    <w:p>
      <w:pPr>
        <w:spacing w:line="360" w:lineRule="auto"/>
        <w:ind w:firstLine="480" w:firstLineChars="200"/>
        <w:jc w:val="left"/>
        <w:rPr>
          <w:rStyle w:val="32"/>
          <w:rFonts w:cs="Times New Roman"/>
          <w:bCs/>
          <w:color w:val="auto"/>
          <w:kern w:val="0"/>
          <w:sz w:val="24"/>
          <w:szCs w:val="24"/>
          <w:highlight w:val="none"/>
          <w:u w:val="single" w:color="000000"/>
        </w:rPr>
      </w:pPr>
      <w:r>
        <w:rPr>
          <w:rStyle w:val="32"/>
          <w:rFonts w:cs="Times New Roman"/>
          <w:bCs/>
          <w:color w:val="auto"/>
          <w:kern w:val="0"/>
          <w:sz w:val="24"/>
          <w:szCs w:val="24"/>
          <w:highlight w:val="none"/>
        </w:rPr>
        <w:t>（2）投标文件递交地点为</w:t>
      </w:r>
      <w:r>
        <w:rPr>
          <w:rStyle w:val="32"/>
          <w:rFonts w:hint="eastAsia" w:cs="Times New Roman"/>
          <w:bCs/>
          <w:color w:val="auto"/>
          <w:kern w:val="0"/>
          <w:sz w:val="24"/>
          <w:szCs w:val="24"/>
          <w:highlight w:val="none"/>
          <w:u w:val="single" w:color="000000"/>
        </w:rPr>
        <w:t>如皋市万寿南路766号江苏省如皋电子商务产业园A栋202室</w:t>
      </w:r>
      <w:r>
        <w:rPr>
          <w:rStyle w:val="32"/>
          <w:rFonts w:cs="Times New Roman"/>
          <w:bCs/>
          <w:color w:val="auto"/>
          <w:kern w:val="0"/>
          <w:sz w:val="24"/>
          <w:szCs w:val="24"/>
          <w:highlight w:val="none"/>
          <w:u w:val="single" w:color="000000"/>
        </w:rPr>
        <w:t xml:space="preserve"> 。</w:t>
      </w:r>
    </w:p>
    <w:p>
      <w:pPr>
        <w:tabs>
          <w:tab w:val="left" w:pos="900"/>
        </w:tabs>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（3）开标时间：</w:t>
      </w:r>
      <w:r>
        <w:rPr>
          <w:rStyle w:val="32"/>
          <w:rFonts w:cs="Times New Roman"/>
          <w:b/>
          <w:color w:val="auto"/>
          <w:kern w:val="0"/>
          <w:sz w:val="24"/>
          <w:szCs w:val="24"/>
          <w:highlight w:val="none"/>
          <w:u w:val="single"/>
        </w:rPr>
        <w:t>同投标文件递交截止时间</w:t>
      </w:r>
      <w:r>
        <w:rPr>
          <w:rStyle w:val="32"/>
          <w:rFonts w:cs="Times New Roman"/>
          <w:color w:val="auto"/>
          <w:kern w:val="0"/>
          <w:sz w:val="24"/>
          <w:szCs w:val="24"/>
          <w:highlight w:val="none"/>
        </w:rPr>
        <w:t>；开标地点：</w:t>
      </w:r>
      <w:r>
        <w:rPr>
          <w:rStyle w:val="32"/>
          <w:rFonts w:cs="Times New Roman"/>
          <w:b/>
          <w:color w:val="auto"/>
          <w:kern w:val="0"/>
          <w:sz w:val="24"/>
          <w:szCs w:val="24"/>
          <w:highlight w:val="none"/>
          <w:u w:val="single"/>
        </w:rPr>
        <w:t>同投标文件递交地点</w:t>
      </w:r>
      <w:r>
        <w:rPr>
          <w:rStyle w:val="32"/>
          <w:rFonts w:cs="Times New Roman"/>
          <w:color w:val="auto"/>
          <w:kern w:val="0"/>
          <w:sz w:val="24"/>
          <w:szCs w:val="24"/>
          <w:highlight w:val="none"/>
        </w:rPr>
        <w:t>；</w:t>
      </w:r>
    </w:p>
    <w:p>
      <w:pPr>
        <w:spacing w:line="360" w:lineRule="auto"/>
        <w:ind w:firstLine="480" w:firstLineChars="200"/>
        <w:jc w:val="left"/>
        <w:rPr>
          <w:rStyle w:val="32"/>
          <w:rFonts w:ascii="Times New Roman" w:hAnsi="Times New Roman" w:eastAsia="宋体" w:cs="Times New Roman"/>
          <w:bCs/>
          <w:color w:val="auto"/>
          <w:kern w:val="0"/>
          <w:sz w:val="24"/>
          <w:szCs w:val="24"/>
          <w:highlight w:val="none"/>
        </w:rPr>
      </w:pPr>
      <w:r>
        <w:rPr>
          <w:rStyle w:val="32"/>
          <w:rFonts w:ascii="Times New Roman" w:hAnsi="Times New Roman" w:eastAsia="宋体" w:cs="Times New Roman"/>
          <w:bCs/>
          <w:color w:val="auto"/>
          <w:kern w:val="0"/>
          <w:sz w:val="24"/>
          <w:szCs w:val="24"/>
          <w:highlight w:val="none"/>
        </w:rPr>
        <w:t>（4）逾期送达的或者未送达指定地点的投标文件，招标人不予受理。</w:t>
      </w:r>
    </w:p>
    <w:p>
      <w:pPr>
        <w:spacing w:line="360" w:lineRule="auto"/>
        <w:ind w:firstLine="480" w:firstLineChars="200"/>
        <w:jc w:val="left"/>
        <w:rPr>
          <w:rStyle w:val="32"/>
          <w:rFonts w:hint="default" w:ascii="Times New Roman" w:hAnsi="Times New Roman" w:eastAsia="宋体" w:cs="Times New Roman"/>
          <w:bCs/>
          <w:color w:val="auto"/>
          <w:kern w:val="0"/>
          <w:sz w:val="24"/>
          <w:szCs w:val="24"/>
          <w:highlight w:val="none"/>
          <w:lang w:val="en-US" w:eastAsia="zh-CN"/>
        </w:rPr>
      </w:pPr>
      <w:r>
        <w:rPr>
          <w:rStyle w:val="32"/>
          <w:rFonts w:ascii="Times New Roman" w:hAnsi="Times New Roman" w:eastAsia="宋体" w:cs="Times New Roman"/>
          <w:bCs/>
          <w:color w:val="auto"/>
          <w:kern w:val="0"/>
          <w:sz w:val="24"/>
          <w:szCs w:val="24"/>
          <w:highlight w:val="none"/>
        </w:rPr>
        <w:t>（</w:t>
      </w:r>
      <w:r>
        <w:rPr>
          <w:rStyle w:val="32"/>
          <w:rFonts w:hint="eastAsia" w:ascii="Times New Roman" w:hAnsi="Times New Roman" w:eastAsia="宋体" w:cs="Times New Roman"/>
          <w:bCs/>
          <w:color w:val="auto"/>
          <w:kern w:val="0"/>
          <w:sz w:val="24"/>
          <w:szCs w:val="24"/>
          <w:highlight w:val="none"/>
          <w:lang w:val="en-US" w:eastAsia="zh-CN"/>
        </w:rPr>
        <w:t>5</w:t>
      </w:r>
      <w:r>
        <w:rPr>
          <w:rStyle w:val="32"/>
          <w:rFonts w:ascii="Times New Roman" w:hAnsi="Times New Roman" w:eastAsia="宋体" w:cs="Times New Roman"/>
          <w:bCs/>
          <w:color w:val="auto"/>
          <w:kern w:val="0"/>
          <w:sz w:val="24"/>
          <w:szCs w:val="24"/>
          <w:highlight w:val="none"/>
        </w:rPr>
        <w:t>）</w:t>
      </w:r>
      <w:r>
        <w:rPr>
          <w:rStyle w:val="32"/>
          <w:rFonts w:hint="eastAsia" w:ascii="Times New Roman" w:hAnsi="Times New Roman" w:eastAsia="宋体" w:cs="Times New Roman"/>
          <w:bCs/>
          <w:color w:val="auto"/>
          <w:kern w:val="0"/>
          <w:sz w:val="24"/>
          <w:szCs w:val="24"/>
          <w:highlight w:val="none"/>
          <w:lang w:val="en-US" w:eastAsia="zh-CN"/>
        </w:rPr>
        <w:t>因疫情防控需要，每投标人现场递交投标文件的法定代表人（或其委托代理人）仅允许一人参与投标，并携带本人身份证原件、法定代表人身份证明书、授权委托书（如有）原件，防疫期需佩戴好口罩，按照当地（投标人所在地、招标人所在地）最新发布的疫情防控要求执行，请各投标人及时关注并获取最新消息，亦可拨打当地区号+12345热线电话咨询。</w:t>
      </w:r>
    </w:p>
    <w:p>
      <w:pPr>
        <w:snapToGrid w:val="0"/>
        <w:spacing w:line="360" w:lineRule="auto"/>
        <w:ind w:firstLine="482" w:firstLineChars="200"/>
        <w:jc w:val="left"/>
        <w:rPr>
          <w:rStyle w:val="32"/>
          <w:rFonts w:cs="Times New Roman"/>
          <w:b/>
          <w:bCs/>
          <w:color w:val="auto"/>
          <w:kern w:val="0"/>
          <w:sz w:val="24"/>
          <w:szCs w:val="24"/>
          <w:highlight w:val="none"/>
        </w:rPr>
      </w:pPr>
      <w:r>
        <w:rPr>
          <w:rStyle w:val="32"/>
          <w:rFonts w:cs="Times New Roman"/>
          <w:b/>
          <w:bCs/>
          <w:color w:val="auto"/>
          <w:kern w:val="0"/>
          <w:sz w:val="24"/>
          <w:szCs w:val="24"/>
          <w:highlight w:val="none"/>
        </w:rPr>
        <w:t>八、发布公告的媒介</w:t>
      </w:r>
    </w:p>
    <w:p>
      <w:pPr>
        <w:snapToGrid w:val="0"/>
        <w:spacing w:line="360" w:lineRule="auto"/>
        <w:ind w:firstLine="480" w:firstLineChars="200"/>
        <w:rPr>
          <w:rStyle w:val="32"/>
          <w:rFonts w:cs="Times New Roman"/>
          <w:bCs/>
          <w:color w:val="auto"/>
          <w:kern w:val="0"/>
          <w:sz w:val="24"/>
          <w:szCs w:val="24"/>
          <w:highlight w:val="none"/>
        </w:rPr>
      </w:pPr>
      <w:r>
        <w:rPr>
          <w:rStyle w:val="32"/>
          <w:rFonts w:cs="Times New Roman"/>
          <w:bCs/>
          <w:color w:val="auto"/>
          <w:kern w:val="0"/>
          <w:sz w:val="24"/>
          <w:szCs w:val="24"/>
          <w:highlight w:val="none"/>
        </w:rPr>
        <w:t>本次招标公告发布在</w:t>
      </w:r>
      <w:r>
        <w:rPr>
          <w:rStyle w:val="32"/>
          <w:rFonts w:cs="Times New Roman"/>
          <w:bCs/>
          <w:color w:val="auto"/>
          <w:kern w:val="0"/>
          <w:sz w:val="24"/>
          <w:szCs w:val="24"/>
          <w:highlight w:val="none"/>
          <w:u w:val="single"/>
        </w:rPr>
        <w:t xml:space="preserve"> </w:t>
      </w:r>
      <w:r>
        <w:rPr>
          <w:rStyle w:val="32"/>
          <w:rFonts w:hint="eastAsia" w:cs="Times New Roman"/>
          <w:color w:val="auto"/>
          <w:sz w:val="24"/>
          <w:szCs w:val="24"/>
          <w:highlight w:val="none"/>
          <w:u w:val="single"/>
          <w:lang w:eastAsia="zh-CN"/>
        </w:rPr>
        <w:t>如皋市交通产业集团有限公司</w:t>
      </w:r>
      <w:r>
        <w:rPr>
          <w:rStyle w:val="32"/>
          <w:rFonts w:cs="Times New Roman"/>
          <w:color w:val="auto"/>
          <w:sz w:val="24"/>
          <w:szCs w:val="24"/>
          <w:highlight w:val="none"/>
          <w:u w:val="single"/>
        </w:rPr>
        <w:t>官网（http://www.rgcig.com/）</w:t>
      </w:r>
      <w:r>
        <w:rPr>
          <w:rStyle w:val="32"/>
          <w:rFonts w:cs="Times New Roman"/>
          <w:bCs/>
          <w:color w:val="auto"/>
          <w:kern w:val="0"/>
          <w:sz w:val="24"/>
          <w:szCs w:val="24"/>
          <w:highlight w:val="none"/>
          <w:u w:val="single" w:color="000000"/>
        </w:rPr>
        <w:t xml:space="preserve">  </w:t>
      </w:r>
      <w:r>
        <w:rPr>
          <w:rStyle w:val="32"/>
          <w:rFonts w:cs="Times New Roman"/>
          <w:bCs/>
          <w:color w:val="auto"/>
          <w:kern w:val="0"/>
          <w:sz w:val="24"/>
          <w:szCs w:val="24"/>
          <w:highlight w:val="none"/>
        </w:rPr>
        <w:t>发布。</w:t>
      </w:r>
      <w:r>
        <w:rPr>
          <w:rStyle w:val="32"/>
          <w:rFonts w:hint="eastAsia" w:cs="Times New Roman"/>
          <w:color w:val="auto"/>
          <w:sz w:val="24"/>
          <w:szCs w:val="24"/>
          <w:highlight w:val="none"/>
          <w:u w:val="single"/>
          <w:lang w:eastAsia="zh-CN"/>
        </w:rPr>
        <w:t>如皋市交通产业集团有限公司</w:t>
      </w:r>
      <w:r>
        <w:rPr>
          <w:rStyle w:val="32"/>
          <w:rFonts w:cs="Times New Roman"/>
          <w:color w:val="auto"/>
          <w:sz w:val="24"/>
          <w:szCs w:val="24"/>
          <w:highlight w:val="none"/>
          <w:u w:val="single"/>
        </w:rPr>
        <w:t>官网（http://www.rgcig.com/）</w:t>
      </w:r>
      <w:r>
        <w:rPr>
          <w:rStyle w:val="32"/>
          <w:rFonts w:cs="Times New Roman"/>
          <w:bCs/>
          <w:color w:val="auto"/>
          <w:kern w:val="0"/>
          <w:sz w:val="24"/>
          <w:szCs w:val="24"/>
          <w:highlight w:val="none"/>
        </w:rPr>
        <w:t>是本项目招标公告、招标文件澄清、补充通知、中标结果公告等招标信息约定的唯一公开发布媒介。</w:t>
      </w:r>
    </w:p>
    <w:p>
      <w:pPr>
        <w:snapToGrid w:val="0"/>
        <w:spacing w:line="360" w:lineRule="auto"/>
        <w:ind w:firstLine="482" w:firstLineChars="200"/>
        <w:jc w:val="left"/>
        <w:rPr>
          <w:rStyle w:val="32"/>
          <w:rFonts w:cs="Times New Roman"/>
          <w:color w:val="auto"/>
          <w:kern w:val="0"/>
          <w:sz w:val="24"/>
          <w:szCs w:val="24"/>
          <w:highlight w:val="none"/>
        </w:rPr>
      </w:pPr>
      <w:r>
        <w:rPr>
          <w:rStyle w:val="32"/>
          <w:rFonts w:cs="Times New Roman"/>
          <w:b/>
          <w:bCs/>
          <w:color w:val="auto"/>
          <w:kern w:val="0"/>
          <w:sz w:val="24"/>
          <w:szCs w:val="24"/>
          <w:highlight w:val="none"/>
        </w:rPr>
        <w:t>九、联系方式</w:t>
      </w:r>
      <w:r>
        <w:rPr>
          <w:rStyle w:val="32"/>
          <w:rFonts w:cs="Times New Roman"/>
          <w:color w:val="auto"/>
          <w:kern w:val="0"/>
          <w:sz w:val="24"/>
          <w:szCs w:val="24"/>
          <w:highlight w:val="none"/>
        </w:rPr>
        <w:t xml:space="preserve"> </w:t>
      </w:r>
    </w:p>
    <w:tbl>
      <w:tblPr>
        <w:tblStyle w:val="13"/>
        <w:tblW w:w="9244" w:type="dxa"/>
        <w:tblInd w:w="-30" w:type="dxa"/>
        <w:tblLayout w:type="fixed"/>
        <w:tblCellMar>
          <w:top w:w="0" w:type="dxa"/>
          <w:left w:w="0" w:type="dxa"/>
          <w:bottom w:w="0" w:type="dxa"/>
          <w:right w:w="0" w:type="dxa"/>
        </w:tblCellMar>
      </w:tblPr>
      <w:tblGrid>
        <w:gridCol w:w="1164"/>
        <w:gridCol w:w="3240"/>
        <w:gridCol w:w="1680"/>
        <w:gridCol w:w="3160"/>
      </w:tblGrid>
      <w:tr>
        <w:tblPrEx>
          <w:tblCellMar>
            <w:top w:w="0" w:type="dxa"/>
            <w:left w:w="0" w:type="dxa"/>
            <w:bottom w:w="0" w:type="dxa"/>
            <w:right w:w="0" w:type="dxa"/>
          </w:tblCellMar>
        </w:tblPrEx>
        <w:trPr>
          <w:trHeight w:val="696" w:hRule="atLeast"/>
        </w:trPr>
        <w:tc>
          <w:tcPr>
            <w:tcW w:w="1164" w:type="dxa"/>
            <w:vAlign w:val="center"/>
          </w:tcPr>
          <w:p>
            <w:pPr>
              <w:snapToGrid w:val="0"/>
              <w:spacing w:line="360" w:lineRule="auto"/>
              <w:jc w:val="center"/>
              <w:rPr>
                <w:rStyle w:val="32"/>
                <w:rFonts w:cs="Times New Roman"/>
                <w:color w:val="auto"/>
                <w:kern w:val="0"/>
                <w:sz w:val="24"/>
                <w:szCs w:val="24"/>
                <w:highlight w:val="none"/>
              </w:rPr>
            </w:pPr>
            <w:r>
              <w:rPr>
                <w:rStyle w:val="32"/>
                <w:rFonts w:cs="Times New Roman"/>
                <w:color w:val="auto"/>
                <w:kern w:val="0"/>
                <w:sz w:val="24"/>
                <w:szCs w:val="24"/>
                <w:highlight w:val="none"/>
              </w:rPr>
              <w:t>招标人：</w:t>
            </w:r>
          </w:p>
        </w:tc>
        <w:tc>
          <w:tcPr>
            <w:tcW w:w="3240" w:type="dxa"/>
            <w:vAlign w:val="center"/>
          </w:tcPr>
          <w:p>
            <w:pPr>
              <w:snapToGrid w:val="0"/>
              <w:spacing w:line="360" w:lineRule="auto"/>
              <w:jc w:val="left"/>
              <w:rPr>
                <w:rStyle w:val="32"/>
                <w:rFonts w:hint="eastAsia" w:eastAsia="宋体" w:cs="Times New Roman"/>
                <w:color w:val="auto"/>
                <w:kern w:val="0"/>
                <w:sz w:val="24"/>
                <w:szCs w:val="24"/>
                <w:highlight w:val="none"/>
                <w:lang w:eastAsia="zh-CN"/>
              </w:rPr>
            </w:pPr>
            <w:r>
              <w:rPr>
                <w:rStyle w:val="32"/>
                <w:rFonts w:hint="eastAsia" w:cs="Times New Roman"/>
                <w:color w:val="auto"/>
                <w:kern w:val="0"/>
                <w:sz w:val="24"/>
                <w:szCs w:val="24"/>
                <w:highlight w:val="none"/>
                <w:lang w:eastAsia="zh-CN"/>
              </w:rPr>
              <w:t>如皋市交通产业集团有限公司</w:t>
            </w:r>
          </w:p>
        </w:tc>
        <w:tc>
          <w:tcPr>
            <w:tcW w:w="1680" w:type="dxa"/>
            <w:vAlign w:val="center"/>
          </w:tcPr>
          <w:p>
            <w:pPr>
              <w:snapToGrid w:val="0"/>
              <w:spacing w:line="360" w:lineRule="auto"/>
              <w:rPr>
                <w:rStyle w:val="32"/>
                <w:rFonts w:cs="Times New Roman"/>
                <w:color w:val="auto"/>
                <w:kern w:val="0"/>
                <w:sz w:val="24"/>
                <w:szCs w:val="24"/>
                <w:highlight w:val="none"/>
              </w:rPr>
            </w:pPr>
            <w:r>
              <w:rPr>
                <w:rStyle w:val="32"/>
                <w:rFonts w:cs="Times New Roman"/>
                <w:color w:val="auto"/>
                <w:kern w:val="0"/>
                <w:sz w:val="24"/>
                <w:szCs w:val="24"/>
                <w:highlight w:val="none"/>
              </w:rPr>
              <w:t>招标代理机构:</w:t>
            </w:r>
          </w:p>
        </w:tc>
        <w:tc>
          <w:tcPr>
            <w:tcW w:w="3160" w:type="dxa"/>
            <w:vAlign w:val="center"/>
          </w:tcPr>
          <w:p>
            <w:pPr>
              <w:snapToGrid w:val="0"/>
              <w:spacing w:line="360" w:lineRule="auto"/>
              <w:rPr>
                <w:rStyle w:val="32"/>
                <w:rFonts w:cs="Times New Roman"/>
                <w:color w:val="auto"/>
                <w:kern w:val="0"/>
                <w:sz w:val="24"/>
                <w:szCs w:val="24"/>
                <w:highlight w:val="none"/>
              </w:rPr>
            </w:pPr>
            <w:r>
              <w:rPr>
                <w:rStyle w:val="32"/>
                <w:rFonts w:cs="Times New Roman"/>
                <w:color w:val="auto"/>
                <w:kern w:val="0"/>
                <w:sz w:val="24"/>
                <w:szCs w:val="24"/>
                <w:highlight w:val="none"/>
              </w:rPr>
              <w:t>捷宏润安工程顾问有限公司</w:t>
            </w:r>
          </w:p>
        </w:tc>
      </w:tr>
      <w:tr>
        <w:tblPrEx>
          <w:tblCellMar>
            <w:top w:w="0" w:type="dxa"/>
            <w:left w:w="0" w:type="dxa"/>
            <w:bottom w:w="0" w:type="dxa"/>
            <w:right w:w="0" w:type="dxa"/>
          </w:tblCellMar>
        </w:tblPrEx>
        <w:trPr>
          <w:trHeight w:val="349" w:hRule="atLeast"/>
        </w:trPr>
        <w:tc>
          <w:tcPr>
            <w:tcW w:w="1164" w:type="dxa"/>
            <w:vAlign w:val="center"/>
          </w:tcPr>
          <w:p>
            <w:pPr>
              <w:snapToGrid w:val="0"/>
              <w:spacing w:line="360" w:lineRule="auto"/>
              <w:jc w:val="center"/>
              <w:rPr>
                <w:rStyle w:val="32"/>
                <w:rFonts w:cs="Times New Roman"/>
                <w:color w:val="auto"/>
                <w:kern w:val="0"/>
                <w:sz w:val="24"/>
                <w:szCs w:val="24"/>
                <w:highlight w:val="none"/>
              </w:rPr>
            </w:pPr>
            <w:r>
              <w:rPr>
                <w:rStyle w:val="32"/>
                <w:rFonts w:cs="Times New Roman"/>
                <w:color w:val="auto"/>
                <w:kern w:val="0"/>
                <w:sz w:val="24"/>
                <w:szCs w:val="24"/>
                <w:highlight w:val="none"/>
              </w:rPr>
              <w:t>地  址：</w:t>
            </w:r>
          </w:p>
        </w:tc>
        <w:tc>
          <w:tcPr>
            <w:tcW w:w="3240" w:type="dxa"/>
            <w:vAlign w:val="center"/>
          </w:tcPr>
          <w:p>
            <w:pPr>
              <w:snapToGrid w:val="0"/>
              <w:spacing w:line="360" w:lineRule="auto"/>
              <w:jc w:val="left"/>
              <w:rPr>
                <w:rStyle w:val="32"/>
                <w:rFonts w:cs="Times New Roman"/>
                <w:color w:val="auto"/>
                <w:kern w:val="0"/>
                <w:sz w:val="24"/>
                <w:szCs w:val="24"/>
                <w:highlight w:val="none"/>
              </w:rPr>
            </w:pPr>
            <w:r>
              <w:rPr>
                <w:rStyle w:val="32"/>
                <w:rFonts w:hint="eastAsia" w:cs="Times New Roman"/>
                <w:color w:val="auto"/>
                <w:kern w:val="0"/>
                <w:sz w:val="24"/>
                <w:szCs w:val="24"/>
                <w:highlight w:val="none"/>
              </w:rPr>
              <w:t>南通市如皋市高新技术产业开发区惠政东路188号广电传媒中心</w:t>
            </w:r>
          </w:p>
        </w:tc>
        <w:tc>
          <w:tcPr>
            <w:tcW w:w="1680" w:type="dxa"/>
            <w:vAlign w:val="center"/>
          </w:tcPr>
          <w:p>
            <w:pPr>
              <w:snapToGrid w:val="0"/>
              <w:spacing w:line="360" w:lineRule="auto"/>
              <w:rPr>
                <w:rStyle w:val="32"/>
                <w:rFonts w:cs="Times New Roman"/>
                <w:color w:val="auto"/>
                <w:kern w:val="0"/>
                <w:sz w:val="24"/>
                <w:szCs w:val="24"/>
                <w:highlight w:val="none"/>
              </w:rPr>
            </w:pPr>
            <w:r>
              <w:rPr>
                <w:rStyle w:val="32"/>
                <w:rFonts w:cs="Times New Roman"/>
                <w:color w:val="auto"/>
                <w:kern w:val="0"/>
                <w:sz w:val="24"/>
                <w:szCs w:val="24"/>
                <w:highlight w:val="none"/>
              </w:rPr>
              <w:t>地     址：</w:t>
            </w:r>
          </w:p>
        </w:tc>
        <w:tc>
          <w:tcPr>
            <w:tcW w:w="3160" w:type="dxa"/>
            <w:vAlign w:val="center"/>
          </w:tcPr>
          <w:p>
            <w:pPr>
              <w:snapToGrid w:val="0"/>
              <w:spacing w:line="360" w:lineRule="auto"/>
              <w:rPr>
                <w:rStyle w:val="32"/>
                <w:rFonts w:cs="Times New Roman"/>
                <w:color w:val="auto"/>
                <w:kern w:val="0"/>
                <w:sz w:val="24"/>
                <w:szCs w:val="24"/>
                <w:highlight w:val="none"/>
              </w:rPr>
            </w:pPr>
            <w:r>
              <w:rPr>
                <w:rStyle w:val="32"/>
                <w:rFonts w:cs="Times New Roman"/>
                <w:color w:val="auto"/>
                <w:kern w:val="0"/>
                <w:sz w:val="24"/>
                <w:szCs w:val="24"/>
                <w:highlight w:val="none"/>
              </w:rPr>
              <w:t>南通市崇川区崇川路58号南通产业研究院9号A1302-A1304室</w:t>
            </w:r>
          </w:p>
        </w:tc>
      </w:tr>
      <w:tr>
        <w:tblPrEx>
          <w:tblCellMar>
            <w:top w:w="0" w:type="dxa"/>
            <w:left w:w="0" w:type="dxa"/>
            <w:bottom w:w="0" w:type="dxa"/>
            <w:right w:w="0" w:type="dxa"/>
          </w:tblCellMar>
        </w:tblPrEx>
        <w:trPr>
          <w:trHeight w:val="177" w:hRule="atLeast"/>
        </w:trPr>
        <w:tc>
          <w:tcPr>
            <w:tcW w:w="1164" w:type="dxa"/>
            <w:vAlign w:val="center"/>
          </w:tcPr>
          <w:p>
            <w:pPr>
              <w:snapToGrid w:val="0"/>
              <w:spacing w:line="360" w:lineRule="auto"/>
              <w:jc w:val="center"/>
              <w:rPr>
                <w:rStyle w:val="32"/>
                <w:rFonts w:cs="Times New Roman"/>
                <w:color w:val="auto"/>
                <w:kern w:val="0"/>
                <w:sz w:val="24"/>
                <w:szCs w:val="24"/>
                <w:highlight w:val="none"/>
              </w:rPr>
            </w:pPr>
            <w:r>
              <w:rPr>
                <w:rStyle w:val="32"/>
                <w:rFonts w:cs="Times New Roman"/>
                <w:color w:val="auto"/>
                <w:kern w:val="0"/>
                <w:sz w:val="24"/>
                <w:szCs w:val="24"/>
                <w:highlight w:val="none"/>
              </w:rPr>
              <w:t>联系人：</w:t>
            </w:r>
          </w:p>
        </w:tc>
        <w:tc>
          <w:tcPr>
            <w:tcW w:w="3240" w:type="dxa"/>
            <w:vAlign w:val="center"/>
          </w:tcPr>
          <w:p>
            <w:pPr>
              <w:snapToGrid w:val="0"/>
              <w:spacing w:line="360" w:lineRule="auto"/>
              <w:jc w:val="left"/>
              <w:rPr>
                <w:rStyle w:val="32"/>
                <w:rFonts w:hint="default" w:eastAsia="宋体" w:cs="Times New Roman"/>
                <w:color w:val="auto"/>
                <w:kern w:val="0"/>
                <w:sz w:val="24"/>
                <w:szCs w:val="24"/>
                <w:highlight w:val="none"/>
                <w:lang w:val="en-US" w:eastAsia="zh-CN"/>
              </w:rPr>
            </w:pPr>
            <w:r>
              <w:rPr>
                <w:rStyle w:val="32"/>
                <w:rFonts w:hint="eastAsia" w:cs="Times New Roman"/>
                <w:color w:val="auto"/>
                <w:kern w:val="0"/>
                <w:sz w:val="24"/>
                <w:szCs w:val="24"/>
                <w:highlight w:val="none"/>
                <w:lang w:val="en-US" w:eastAsia="zh-CN"/>
              </w:rPr>
              <w:t>刘女士</w:t>
            </w:r>
          </w:p>
        </w:tc>
        <w:tc>
          <w:tcPr>
            <w:tcW w:w="1680" w:type="dxa"/>
            <w:vAlign w:val="center"/>
          </w:tcPr>
          <w:p>
            <w:pPr>
              <w:snapToGrid w:val="0"/>
              <w:spacing w:line="360" w:lineRule="auto"/>
              <w:rPr>
                <w:rStyle w:val="32"/>
                <w:rFonts w:cs="Times New Roman"/>
                <w:color w:val="auto"/>
                <w:kern w:val="0"/>
                <w:sz w:val="24"/>
                <w:szCs w:val="24"/>
                <w:highlight w:val="none"/>
              </w:rPr>
            </w:pPr>
            <w:r>
              <w:rPr>
                <w:rStyle w:val="32"/>
                <w:rFonts w:cs="Times New Roman"/>
                <w:color w:val="auto"/>
                <w:kern w:val="0"/>
                <w:sz w:val="24"/>
                <w:szCs w:val="24"/>
                <w:highlight w:val="none"/>
              </w:rPr>
              <w:t>联  系 人：</w:t>
            </w:r>
          </w:p>
        </w:tc>
        <w:tc>
          <w:tcPr>
            <w:tcW w:w="3160" w:type="dxa"/>
            <w:vAlign w:val="center"/>
          </w:tcPr>
          <w:p>
            <w:pPr>
              <w:snapToGrid w:val="0"/>
              <w:spacing w:line="360" w:lineRule="auto"/>
              <w:rPr>
                <w:rStyle w:val="32"/>
                <w:rFonts w:cs="Times New Roman"/>
                <w:color w:val="auto"/>
                <w:kern w:val="0"/>
                <w:sz w:val="24"/>
                <w:szCs w:val="24"/>
                <w:highlight w:val="none"/>
              </w:rPr>
            </w:pPr>
            <w:r>
              <w:rPr>
                <w:rStyle w:val="32"/>
                <w:rFonts w:cs="Times New Roman"/>
                <w:color w:val="auto"/>
                <w:kern w:val="0"/>
                <w:sz w:val="24"/>
                <w:szCs w:val="24"/>
                <w:highlight w:val="none"/>
              </w:rPr>
              <w:t>邱海峰</w:t>
            </w:r>
          </w:p>
        </w:tc>
      </w:tr>
      <w:tr>
        <w:tblPrEx>
          <w:tblCellMar>
            <w:top w:w="0" w:type="dxa"/>
            <w:left w:w="0" w:type="dxa"/>
            <w:bottom w:w="0" w:type="dxa"/>
            <w:right w:w="0" w:type="dxa"/>
          </w:tblCellMar>
        </w:tblPrEx>
        <w:trPr>
          <w:trHeight w:val="172" w:hRule="atLeast"/>
        </w:trPr>
        <w:tc>
          <w:tcPr>
            <w:tcW w:w="1164" w:type="dxa"/>
            <w:vAlign w:val="center"/>
          </w:tcPr>
          <w:p>
            <w:pPr>
              <w:snapToGrid w:val="0"/>
              <w:spacing w:line="360" w:lineRule="auto"/>
              <w:jc w:val="center"/>
              <w:rPr>
                <w:rStyle w:val="32"/>
                <w:rFonts w:cs="Times New Roman"/>
                <w:color w:val="auto"/>
                <w:kern w:val="0"/>
                <w:sz w:val="24"/>
                <w:szCs w:val="24"/>
                <w:highlight w:val="none"/>
              </w:rPr>
            </w:pPr>
            <w:r>
              <w:rPr>
                <w:rStyle w:val="32"/>
                <w:rFonts w:cs="Times New Roman"/>
                <w:color w:val="auto"/>
                <w:kern w:val="0"/>
                <w:sz w:val="24"/>
                <w:szCs w:val="24"/>
                <w:highlight w:val="none"/>
              </w:rPr>
              <w:t>电  话：</w:t>
            </w:r>
          </w:p>
        </w:tc>
        <w:tc>
          <w:tcPr>
            <w:tcW w:w="3240" w:type="dxa"/>
            <w:vAlign w:val="center"/>
          </w:tcPr>
          <w:p>
            <w:pPr>
              <w:snapToGrid w:val="0"/>
              <w:spacing w:line="360" w:lineRule="auto"/>
              <w:jc w:val="left"/>
              <w:rPr>
                <w:rStyle w:val="32"/>
                <w:rFonts w:cs="Times New Roman"/>
                <w:color w:val="auto"/>
                <w:kern w:val="0"/>
                <w:sz w:val="24"/>
                <w:szCs w:val="24"/>
                <w:highlight w:val="none"/>
              </w:rPr>
            </w:pPr>
          </w:p>
        </w:tc>
        <w:tc>
          <w:tcPr>
            <w:tcW w:w="1680" w:type="dxa"/>
            <w:vAlign w:val="center"/>
          </w:tcPr>
          <w:p>
            <w:pPr>
              <w:snapToGrid w:val="0"/>
              <w:spacing w:line="360" w:lineRule="auto"/>
              <w:rPr>
                <w:rStyle w:val="32"/>
                <w:rFonts w:cs="Times New Roman"/>
                <w:color w:val="auto"/>
                <w:kern w:val="0"/>
                <w:sz w:val="24"/>
                <w:szCs w:val="24"/>
                <w:highlight w:val="none"/>
              </w:rPr>
            </w:pPr>
            <w:r>
              <w:rPr>
                <w:rStyle w:val="32"/>
                <w:rFonts w:cs="Times New Roman"/>
                <w:color w:val="auto"/>
                <w:kern w:val="0"/>
                <w:sz w:val="24"/>
                <w:szCs w:val="24"/>
                <w:highlight w:val="none"/>
              </w:rPr>
              <w:t>电   话：</w:t>
            </w:r>
          </w:p>
        </w:tc>
        <w:tc>
          <w:tcPr>
            <w:tcW w:w="3160" w:type="dxa"/>
            <w:vAlign w:val="center"/>
          </w:tcPr>
          <w:p>
            <w:pPr>
              <w:snapToGrid w:val="0"/>
              <w:spacing w:line="360" w:lineRule="auto"/>
              <w:rPr>
                <w:rStyle w:val="32"/>
                <w:rFonts w:cs="Times New Roman"/>
                <w:color w:val="auto"/>
                <w:kern w:val="0"/>
                <w:sz w:val="24"/>
                <w:szCs w:val="24"/>
                <w:highlight w:val="none"/>
              </w:rPr>
            </w:pPr>
            <w:r>
              <w:rPr>
                <w:rStyle w:val="32"/>
                <w:rFonts w:cs="Times New Roman"/>
                <w:color w:val="auto"/>
                <w:kern w:val="0"/>
                <w:sz w:val="24"/>
                <w:szCs w:val="24"/>
                <w:highlight w:val="none"/>
              </w:rPr>
              <w:t>18036206278</w:t>
            </w:r>
          </w:p>
        </w:tc>
      </w:tr>
      <w:tr>
        <w:tblPrEx>
          <w:tblCellMar>
            <w:top w:w="0" w:type="dxa"/>
            <w:left w:w="0" w:type="dxa"/>
            <w:bottom w:w="0" w:type="dxa"/>
            <w:right w:w="0" w:type="dxa"/>
          </w:tblCellMar>
        </w:tblPrEx>
        <w:trPr>
          <w:trHeight w:val="177" w:hRule="atLeast"/>
        </w:trPr>
        <w:tc>
          <w:tcPr>
            <w:tcW w:w="1164" w:type="dxa"/>
            <w:vAlign w:val="center"/>
          </w:tcPr>
          <w:p>
            <w:pPr>
              <w:snapToGrid w:val="0"/>
              <w:spacing w:line="360" w:lineRule="auto"/>
              <w:jc w:val="center"/>
              <w:rPr>
                <w:rStyle w:val="32"/>
                <w:rFonts w:cs="Times New Roman"/>
                <w:color w:val="auto"/>
                <w:kern w:val="0"/>
                <w:sz w:val="24"/>
                <w:szCs w:val="24"/>
                <w:highlight w:val="none"/>
              </w:rPr>
            </w:pPr>
            <w:r>
              <w:rPr>
                <w:rStyle w:val="32"/>
                <w:rFonts w:cs="Times New Roman"/>
                <w:color w:val="auto"/>
                <w:kern w:val="0"/>
                <w:sz w:val="24"/>
                <w:szCs w:val="24"/>
                <w:highlight w:val="none"/>
              </w:rPr>
              <w:t>传  真：</w:t>
            </w:r>
          </w:p>
        </w:tc>
        <w:tc>
          <w:tcPr>
            <w:tcW w:w="3240" w:type="dxa"/>
            <w:vAlign w:val="center"/>
          </w:tcPr>
          <w:p>
            <w:pPr>
              <w:snapToGrid w:val="0"/>
              <w:spacing w:line="360" w:lineRule="auto"/>
              <w:jc w:val="left"/>
              <w:rPr>
                <w:rStyle w:val="32"/>
                <w:rFonts w:cs="Times New Roman"/>
                <w:color w:val="auto"/>
                <w:kern w:val="0"/>
                <w:sz w:val="24"/>
                <w:szCs w:val="24"/>
                <w:highlight w:val="none"/>
              </w:rPr>
            </w:pPr>
          </w:p>
        </w:tc>
        <w:tc>
          <w:tcPr>
            <w:tcW w:w="1680" w:type="dxa"/>
            <w:vAlign w:val="center"/>
          </w:tcPr>
          <w:p>
            <w:pPr>
              <w:snapToGrid w:val="0"/>
              <w:spacing w:line="360" w:lineRule="auto"/>
              <w:rPr>
                <w:rStyle w:val="32"/>
                <w:rFonts w:cs="Times New Roman"/>
                <w:color w:val="auto"/>
                <w:kern w:val="0"/>
                <w:sz w:val="24"/>
                <w:szCs w:val="24"/>
                <w:highlight w:val="none"/>
              </w:rPr>
            </w:pPr>
            <w:r>
              <w:rPr>
                <w:rStyle w:val="32"/>
                <w:rFonts w:cs="Times New Roman"/>
                <w:color w:val="auto"/>
                <w:kern w:val="0"/>
                <w:sz w:val="24"/>
                <w:szCs w:val="24"/>
                <w:highlight w:val="none"/>
              </w:rPr>
              <w:t>邮       箱：</w:t>
            </w:r>
          </w:p>
        </w:tc>
        <w:tc>
          <w:tcPr>
            <w:tcW w:w="3160" w:type="dxa"/>
            <w:vAlign w:val="center"/>
          </w:tcPr>
          <w:p>
            <w:pPr>
              <w:snapToGrid w:val="0"/>
              <w:spacing w:line="360" w:lineRule="auto"/>
              <w:rPr>
                <w:rStyle w:val="32"/>
                <w:rFonts w:cs="Times New Roman"/>
                <w:color w:val="auto"/>
                <w:kern w:val="0"/>
                <w:sz w:val="24"/>
                <w:szCs w:val="24"/>
                <w:highlight w:val="none"/>
              </w:rPr>
            </w:pPr>
            <w:r>
              <w:rPr>
                <w:rStyle w:val="32"/>
                <w:rFonts w:cs="Times New Roman"/>
                <w:color w:val="auto"/>
                <w:kern w:val="0"/>
                <w:sz w:val="24"/>
                <w:szCs w:val="24"/>
                <w:highlight w:val="none"/>
              </w:rPr>
              <w:t>610079136@qq.com</w:t>
            </w:r>
          </w:p>
        </w:tc>
      </w:tr>
    </w:tbl>
    <w:p>
      <w:pPr>
        <w:pStyle w:val="83"/>
        <w:shd w:val="clear" w:color="auto" w:fill="FFFFFF"/>
        <w:snapToGrid w:val="0"/>
        <w:spacing w:before="0" w:beforeAutospacing="0" w:after="0" w:afterAutospacing="0" w:line="360" w:lineRule="auto"/>
        <w:jc w:val="right"/>
        <w:rPr>
          <w:rStyle w:val="32"/>
          <w:rFonts w:ascii="Times New Roman" w:hAnsi="Times New Roman" w:cs="Times New Roman"/>
          <w:color w:val="auto"/>
          <w:highlight w:val="none"/>
        </w:rPr>
      </w:pPr>
      <w:r>
        <w:rPr>
          <w:rStyle w:val="32"/>
          <w:rFonts w:ascii="Times New Roman" w:hAnsi="Times New Roman" w:cs="Times New Roman"/>
          <w:color w:val="auto"/>
          <w:highlight w:val="none"/>
        </w:rPr>
        <w:t>2021年1</w:t>
      </w:r>
      <w:r>
        <w:rPr>
          <w:rStyle w:val="32"/>
          <w:rFonts w:hint="eastAsia" w:ascii="Times New Roman" w:hAnsi="Times New Roman" w:cs="Times New Roman"/>
          <w:color w:val="auto"/>
          <w:highlight w:val="none"/>
          <w:lang w:val="en-US" w:eastAsia="zh-CN"/>
        </w:rPr>
        <w:t>1</w:t>
      </w:r>
      <w:r>
        <w:rPr>
          <w:rStyle w:val="32"/>
          <w:rFonts w:ascii="Times New Roman" w:hAnsi="Times New Roman" w:cs="Times New Roman"/>
          <w:color w:val="auto"/>
          <w:highlight w:val="none"/>
        </w:rPr>
        <w:t>月</w:t>
      </w:r>
      <w:r>
        <w:rPr>
          <w:rStyle w:val="32"/>
          <w:rFonts w:hint="eastAsia" w:ascii="Times New Roman" w:hAnsi="Times New Roman" w:cs="Times New Roman"/>
          <w:color w:val="auto"/>
          <w:highlight w:val="none"/>
          <w:lang w:val="en-US" w:eastAsia="zh-CN"/>
        </w:rPr>
        <w:t>8</w:t>
      </w:r>
      <w:r>
        <w:rPr>
          <w:rStyle w:val="32"/>
          <w:rFonts w:ascii="Times New Roman" w:hAnsi="Times New Roman" w:cs="Times New Roman"/>
          <w:color w:val="auto"/>
          <w:highlight w:val="none"/>
        </w:rPr>
        <w:t>日</w:t>
      </w:r>
    </w:p>
    <w:p>
      <w:pPr>
        <w:pStyle w:val="83"/>
        <w:shd w:val="clear" w:color="auto" w:fill="FFFFFF"/>
        <w:snapToGrid w:val="0"/>
        <w:spacing w:before="0" w:beforeAutospacing="0" w:after="0" w:afterAutospacing="0" w:line="360" w:lineRule="auto"/>
        <w:jc w:val="right"/>
        <w:rPr>
          <w:rStyle w:val="32"/>
          <w:rFonts w:ascii="Times New Roman" w:hAnsi="Times New Roman" w:cs="Times New Roman"/>
          <w:color w:val="auto"/>
          <w:highlight w:val="none"/>
        </w:rPr>
      </w:pPr>
    </w:p>
    <w:p>
      <w:pPr>
        <w:snapToGrid w:val="0"/>
        <w:spacing w:line="360" w:lineRule="auto"/>
        <w:ind w:firstLine="880" w:firstLineChars="200"/>
        <w:jc w:val="center"/>
        <w:rPr>
          <w:rStyle w:val="32"/>
          <w:rFonts w:eastAsia="黑体" w:cs="Times New Roman"/>
          <w:bCs/>
          <w:color w:val="auto"/>
          <w:sz w:val="44"/>
          <w:highlight w:val="none"/>
        </w:rPr>
      </w:pPr>
      <w:r>
        <w:rPr>
          <w:rStyle w:val="32"/>
          <w:rFonts w:eastAsia="黑体" w:cs="Times New Roman"/>
          <w:bCs/>
          <w:color w:val="auto"/>
          <w:sz w:val="44"/>
          <w:highlight w:val="none"/>
        </w:rPr>
        <w:br w:type="page"/>
      </w:r>
      <w:r>
        <w:rPr>
          <w:rStyle w:val="32"/>
          <w:rFonts w:eastAsia="黑体" w:cs="Times New Roman"/>
          <w:bCs/>
          <w:color w:val="auto"/>
          <w:sz w:val="44"/>
          <w:highlight w:val="none"/>
        </w:rPr>
        <w:t>第二章 投标须知</w:t>
      </w:r>
    </w:p>
    <w:p>
      <w:pPr>
        <w:adjustRightInd w:val="0"/>
        <w:snapToGrid w:val="0"/>
        <w:spacing w:line="360" w:lineRule="auto"/>
        <w:ind w:firstLine="482" w:firstLineChars="200"/>
        <w:rPr>
          <w:rStyle w:val="209"/>
          <w:rFonts w:cs="Times New Roman"/>
          <w:b/>
          <w:bCs/>
          <w:color w:val="auto"/>
          <w:sz w:val="24"/>
          <w:highlight w:val="none"/>
        </w:rPr>
      </w:pPr>
      <w:r>
        <w:rPr>
          <w:rStyle w:val="209"/>
          <w:rFonts w:cs="Times New Roman"/>
          <w:b/>
          <w:bCs/>
          <w:color w:val="auto"/>
          <w:sz w:val="24"/>
          <w:highlight w:val="none"/>
        </w:rPr>
        <w:t>一、说明</w:t>
      </w:r>
    </w:p>
    <w:p>
      <w:pPr>
        <w:adjustRightInd w:val="0"/>
        <w:snapToGrid w:val="0"/>
        <w:spacing w:line="360" w:lineRule="auto"/>
        <w:ind w:firstLine="480" w:firstLineChars="200"/>
        <w:rPr>
          <w:rStyle w:val="209"/>
          <w:rFonts w:cs="Times New Roman"/>
          <w:bCs/>
          <w:color w:val="auto"/>
          <w:sz w:val="24"/>
          <w:highlight w:val="none"/>
        </w:rPr>
      </w:pPr>
      <w:r>
        <w:rPr>
          <w:rStyle w:val="209"/>
          <w:rFonts w:cs="Times New Roman"/>
          <w:bCs/>
          <w:color w:val="auto"/>
          <w:sz w:val="24"/>
          <w:highlight w:val="none"/>
        </w:rPr>
        <w:t>1、本招标文件仅适用于本招标人组织的本次公开招标活动。</w:t>
      </w:r>
    </w:p>
    <w:p>
      <w:pPr>
        <w:adjustRightInd w:val="0"/>
        <w:snapToGrid w:val="0"/>
        <w:spacing w:line="360" w:lineRule="auto"/>
        <w:ind w:firstLine="480" w:firstLineChars="200"/>
        <w:rPr>
          <w:rStyle w:val="209"/>
          <w:rFonts w:cs="Times New Roman"/>
          <w:bCs/>
          <w:color w:val="auto"/>
          <w:sz w:val="24"/>
          <w:highlight w:val="none"/>
        </w:rPr>
      </w:pPr>
      <w:r>
        <w:rPr>
          <w:rStyle w:val="209"/>
          <w:rFonts w:cs="Times New Roman"/>
          <w:bCs/>
          <w:color w:val="auto"/>
          <w:sz w:val="24"/>
          <w:highlight w:val="none"/>
        </w:rPr>
        <w:t>2、公开招标活动及因本次招标产生的合同受中国法律制约和保护。</w:t>
      </w:r>
    </w:p>
    <w:p>
      <w:pPr>
        <w:adjustRightInd w:val="0"/>
        <w:snapToGrid w:val="0"/>
        <w:spacing w:line="360" w:lineRule="auto"/>
        <w:ind w:firstLine="480" w:firstLineChars="200"/>
        <w:rPr>
          <w:rStyle w:val="209"/>
          <w:rFonts w:cs="Times New Roman"/>
          <w:bCs/>
          <w:color w:val="auto"/>
          <w:sz w:val="24"/>
          <w:highlight w:val="none"/>
        </w:rPr>
      </w:pPr>
      <w:r>
        <w:rPr>
          <w:rStyle w:val="209"/>
          <w:rFonts w:cs="Times New Roman"/>
          <w:bCs/>
          <w:color w:val="auto"/>
          <w:sz w:val="24"/>
          <w:highlight w:val="none"/>
        </w:rPr>
        <w:t>3、招标文件的解释权归属于招标人。</w:t>
      </w:r>
    </w:p>
    <w:p>
      <w:pPr>
        <w:adjustRightInd w:val="0"/>
        <w:snapToGrid w:val="0"/>
        <w:spacing w:line="360" w:lineRule="auto"/>
        <w:ind w:firstLine="480" w:firstLineChars="200"/>
        <w:rPr>
          <w:rStyle w:val="32"/>
          <w:rFonts w:cs="Times New Roman"/>
          <w:color w:val="auto"/>
          <w:sz w:val="24"/>
          <w:szCs w:val="24"/>
          <w:highlight w:val="none"/>
        </w:rPr>
      </w:pPr>
      <w:r>
        <w:rPr>
          <w:rStyle w:val="209"/>
          <w:rFonts w:cs="Times New Roman"/>
          <w:color w:val="auto"/>
          <w:sz w:val="24"/>
          <w:highlight w:val="none"/>
        </w:rPr>
        <w:t>4、供应商在知道或应当知道本项目招标公告及招标文件中的所有内容：如内容或页码短缺、资格要求和技术参数出现倾向性或排他性等表述的，应在</w:t>
      </w:r>
      <w:r>
        <w:rPr>
          <w:rStyle w:val="209"/>
          <w:rFonts w:cs="Times New Roman"/>
          <w:color w:val="auto"/>
          <w:sz w:val="24"/>
          <w:highlight w:val="none"/>
          <w:u w:val="single" w:color="000000"/>
        </w:rPr>
        <w:t>2021</w:t>
      </w:r>
      <w:r>
        <w:rPr>
          <w:rStyle w:val="209"/>
          <w:rFonts w:cs="Times New Roman"/>
          <w:color w:val="auto"/>
          <w:sz w:val="24"/>
          <w:highlight w:val="none"/>
        </w:rPr>
        <w:t>年</w:t>
      </w:r>
      <w:r>
        <w:rPr>
          <w:rStyle w:val="209"/>
          <w:rFonts w:cs="Times New Roman"/>
          <w:color w:val="auto"/>
          <w:sz w:val="24"/>
          <w:highlight w:val="none"/>
          <w:u w:val="single" w:color="000000"/>
        </w:rPr>
        <w:t>1</w:t>
      </w:r>
      <w:r>
        <w:rPr>
          <w:rStyle w:val="209"/>
          <w:rFonts w:hint="eastAsia" w:cs="Times New Roman"/>
          <w:color w:val="auto"/>
          <w:sz w:val="24"/>
          <w:highlight w:val="none"/>
          <w:u w:val="single" w:color="000000"/>
          <w:lang w:val="en-US"/>
        </w:rPr>
        <w:t>1</w:t>
      </w:r>
      <w:r>
        <w:rPr>
          <w:rStyle w:val="209"/>
          <w:rFonts w:cs="Times New Roman"/>
          <w:color w:val="auto"/>
          <w:sz w:val="24"/>
          <w:highlight w:val="none"/>
        </w:rPr>
        <w:t>月</w:t>
      </w:r>
      <w:r>
        <w:rPr>
          <w:rStyle w:val="209"/>
          <w:rFonts w:hint="eastAsia" w:cs="Times New Roman"/>
          <w:color w:val="auto"/>
          <w:sz w:val="24"/>
          <w:highlight w:val="none"/>
          <w:u w:val="single" w:color="000000"/>
          <w:lang w:val="en-US"/>
        </w:rPr>
        <w:t>11</w:t>
      </w:r>
      <w:r>
        <w:rPr>
          <w:rStyle w:val="209"/>
          <w:rFonts w:cs="Times New Roman"/>
          <w:color w:val="auto"/>
          <w:sz w:val="24"/>
          <w:highlight w:val="none"/>
        </w:rPr>
        <w:t>日</w:t>
      </w:r>
      <w:r>
        <w:rPr>
          <w:rStyle w:val="209"/>
          <w:rFonts w:hint="eastAsia" w:cs="Times New Roman"/>
          <w:color w:val="auto"/>
          <w:sz w:val="24"/>
          <w:highlight w:val="none"/>
          <w:u w:val="single" w:color="000000"/>
          <w:lang w:val="en-US"/>
        </w:rPr>
        <w:t>17</w:t>
      </w:r>
      <w:r>
        <w:rPr>
          <w:rStyle w:val="209"/>
          <w:rFonts w:cs="Times New Roman"/>
          <w:color w:val="auto"/>
          <w:sz w:val="24"/>
          <w:highlight w:val="none"/>
        </w:rPr>
        <w:t>时</w:t>
      </w:r>
      <w:r>
        <w:rPr>
          <w:rStyle w:val="209"/>
          <w:rFonts w:cs="Times New Roman"/>
          <w:color w:val="auto"/>
          <w:sz w:val="24"/>
          <w:highlight w:val="none"/>
          <w:u w:val="single" w:color="000000"/>
        </w:rPr>
        <w:t>00</w:t>
      </w:r>
      <w:r>
        <w:rPr>
          <w:rStyle w:val="209"/>
          <w:rFonts w:cs="Times New Roman"/>
          <w:color w:val="auto"/>
          <w:sz w:val="24"/>
          <w:highlight w:val="none"/>
        </w:rPr>
        <w:t>分以书面实名制形式提出质疑( 代理公司联系方式：邱先生 18036206278，邮箱610079136@qq.com)；未提出询问、质疑或是未在规定期间内提出询问、质疑的，视作供应商接受本项目招标公告及招标文件中的全部内容；供应商不得在招标活动期间及招标结束后针对本项目招标公告及招标文件中的所有内容提出质疑、投诉。</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5、供应商应认真审阅本招标文件中的所有事项、格式、条款和规范要求等，如果供应商没有按照招标文件要求提交投标文件，或者投标文件没有对招标文件做出实质性响应，将被拒绝参与投标。</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6、招标文件项目需求提供的可能涉及到的工艺、材料、设备、商标、样本、技术规范、参数规格、品牌等，仅作为说明并没有限制性，供应商在投标中可以选用替代标准，但这些替代标准要优于或等于项目需求技术规格中要求的标准，以满足采购人的需要。</w:t>
      </w:r>
    </w:p>
    <w:p>
      <w:pPr>
        <w:adjustRightInd w:val="0"/>
        <w:snapToGrid w:val="0"/>
        <w:spacing w:line="360" w:lineRule="auto"/>
        <w:ind w:firstLine="496" w:firstLineChars="206"/>
        <w:rPr>
          <w:rStyle w:val="209"/>
          <w:rFonts w:cs="Times New Roman"/>
          <w:color w:val="auto"/>
          <w:sz w:val="24"/>
          <w:highlight w:val="none"/>
        </w:rPr>
      </w:pPr>
      <w:r>
        <w:rPr>
          <w:rStyle w:val="209"/>
          <w:rFonts w:cs="Times New Roman"/>
          <w:b/>
          <w:bCs/>
          <w:color w:val="auto"/>
          <w:sz w:val="24"/>
          <w:highlight w:val="none"/>
        </w:rPr>
        <w:t>二、招标文件的获取</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有意愿参与本项目投标响应的单位，请于 2021年1</w:t>
      </w:r>
      <w:r>
        <w:rPr>
          <w:rStyle w:val="209"/>
          <w:rFonts w:hint="eastAsia" w:cs="Times New Roman"/>
          <w:color w:val="auto"/>
          <w:sz w:val="24"/>
          <w:highlight w:val="none"/>
          <w:lang w:val="en-US"/>
        </w:rPr>
        <w:t>1</w:t>
      </w:r>
      <w:r>
        <w:rPr>
          <w:rStyle w:val="209"/>
          <w:rFonts w:cs="Times New Roman"/>
          <w:color w:val="auto"/>
          <w:sz w:val="24"/>
          <w:highlight w:val="none"/>
        </w:rPr>
        <w:t>月</w:t>
      </w:r>
      <w:r>
        <w:rPr>
          <w:rStyle w:val="209"/>
          <w:rFonts w:hint="eastAsia" w:cs="Times New Roman"/>
          <w:color w:val="auto"/>
          <w:sz w:val="24"/>
          <w:highlight w:val="none"/>
          <w:lang w:val="en-US"/>
        </w:rPr>
        <w:t>11</w:t>
      </w:r>
      <w:r>
        <w:rPr>
          <w:rStyle w:val="209"/>
          <w:rFonts w:cs="Times New Roman"/>
          <w:color w:val="auto"/>
          <w:sz w:val="24"/>
          <w:highlight w:val="none"/>
        </w:rPr>
        <w:t>日前（法定节假日除外）至捷宏润安工程顾问有限公司处</w:t>
      </w:r>
      <w:r>
        <w:rPr>
          <w:rStyle w:val="209"/>
          <w:rFonts w:hint="eastAsia" w:cs="Times New Roman"/>
          <w:color w:val="auto"/>
          <w:sz w:val="24"/>
          <w:highlight w:val="none"/>
          <w:lang w:val="en-US"/>
        </w:rPr>
        <w:t>领取</w:t>
      </w:r>
      <w:r>
        <w:rPr>
          <w:rStyle w:val="209"/>
          <w:rFonts w:cs="Times New Roman"/>
          <w:color w:val="auto"/>
          <w:sz w:val="24"/>
          <w:highlight w:val="none"/>
        </w:rPr>
        <w:t>招标文件，具体要求见招标公告。</w:t>
      </w:r>
    </w:p>
    <w:p>
      <w:pPr>
        <w:adjustRightInd w:val="0"/>
        <w:snapToGrid w:val="0"/>
        <w:spacing w:line="360" w:lineRule="auto"/>
        <w:ind w:firstLine="482" w:firstLineChars="200"/>
        <w:rPr>
          <w:rStyle w:val="209"/>
          <w:rFonts w:cs="Times New Roman"/>
          <w:b/>
          <w:color w:val="auto"/>
          <w:sz w:val="24"/>
          <w:highlight w:val="none"/>
        </w:rPr>
      </w:pPr>
      <w:r>
        <w:rPr>
          <w:rStyle w:val="209"/>
          <w:rFonts w:cs="Times New Roman"/>
          <w:b/>
          <w:color w:val="auto"/>
          <w:sz w:val="24"/>
          <w:highlight w:val="none"/>
        </w:rPr>
        <w:t>三、招标文件的补充说明、澄清、修改、答疑</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1、招标人有权对发出的招标文件进行必要的补充说明、澄清或修改。</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2、凡涉及招标文件的补充说明、澄清或修改，均以代理机构在“</w:t>
      </w:r>
      <w:r>
        <w:rPr>
          <w:rStyle w:val="209"/>
          <w:rFonts w:hint="eastAsia" w:cs="Times New Roman"/>
          <w:color w:val="auto"/>
          <w:kern w:val="0"/>
          <w:sz w:val="24"/>
          <w:highlight w:val="none"/>
        </w:rPr>
        <w:t>如皋市交通产业集团有限公司</w:t>
      </w:r>
      <w:r>
        <w:rPr>
          <w:rStyle w:val="209"/>
          <w:rFonts w:cs="Times New Roman"/>
          <w:color w:val="auto"/>
          <w:kern w:val="0"/>
          <w:sz w:val="24"/>
          <w:highlight w:val="none"/>
        </w:rPr>
        <w:t>官网（http://www.rgcig.com/）</w:t>
      </w:r>
      <w:r>
        <w:rPr>
          <w:rStyle w:val="209"/>
          <w:rFonts w:cs="Times New Roman"/>
          <w:color w:val="auto"/>
          <w:sz w:val="24"/>
          <w:highlight w:val="none"/>
        </w:rPr>
        <w:t>”发布的信息为准。</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3、代理机构对招标文件的补充说明、澄清或修改，将构成招标文件的一部分，对供应商具有约束力。</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4、补充说明、澄清或修改的内容可能影响到响应文件编制的，代理机构将在提交投标文件截止期7日前，发布补充说明、澄清或修改的公告，不足7日的应当顺延首次提交投标文件截止之日。</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5、除非代理机构以书面的形式对招标文件作出澄清、修改及补充，供应商对涉及招标文件的任何推论、理解和结论所造成的结果，均由供应商自负。</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6、招标采购单位视情组织答疑会。如有产生答疑且对招标文件内容有修改，代理机构将按照本须知有关规定，以补充通知（公告）的方式发出。</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7、招标项目涉及到的现场勘察</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7.1、招标文件所提供的项目相关数据仅做参考，供应商必须在投标文件递交日前自行对有关现场和周围环境进行勘察，以获取编制投标文件所需的信息。勘察现场如有费用产生，由供应商自行承担。</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7.2、采购人向供应商提供有关现场的资料和数据，是采购人现有的并认为能使供应商可利用的资料。采购人对供应商由此而做出的推论、理解和结论概不负责。</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7.3、潜在供应商为投标而勘察项目现场，但不得因此使采购人承担有关的责任和蒙受损失。供应商须承担勘察现场而带来的一切责任及风险。</w:t>
      </w:r>
    </w:p>
    <w:p>
      <w:pPr>
        <w:adjustRightInd w:val="0"/>
        <w:snapToGrid w:val="0"/>
        <w:spacing w:line="360" w:lineRule="auto"/>
        <w:ind w:firstLine="480" w:firstLineChars="200"/>
        <w:rPr>
          <w:rStyle w:val="209"/>
          <w:rFonts w:cs="Times New Roman"/>
          <w:color w:val="auto"/>
          <w:highlight w:val="none"/>
        </w:rPr>
      </w:pPr>
      <w:r>
        <w:rPr>
          <w:rStyle w:val="209"/>
          <w:rFonts w:cs="Times New Roman"/>
          <w:color w:val="auto"/>
          <w:sz w:val="24"/>
          <w:highlight w:val="none"/>
        </w:rPr>
        <w:t>7.4、供应商在现场勘察时，熟悉现场及周围交通道路等情况，以获得一切可能影响投标响应内容的直接资料。供应商中标后，不得以不完全了解现场情况为理由而向采购人提出任何索赔的要求，对此采购人不承担任何责任，且不作任何答复。</w:t>
      </w:r>
    </w:p>
    <w:p>
      <w:pPr>
        <w:adjustRightInd w:val="0"/>
        <w:snapToGrid w:val="0"/>
        <w:spacing w:line="360" w:lineRule="auto"/>
        <w:ind w:firstLine="482" w:firstLineChars="200"/>
        <w:rPr>
          <w:rStyle w:val="209"/>
          <w:rFonts w:cs="Times New Roman"/>
          <w:b/>
          <w:color w:val="auto"/>
          <w:sz w:val="24"/>
          <w:highlight w:val="none"/>
        </w:rPr>
      </w:pPr>
      <w:r>
        <w:rPr>
          <w:rStyle w:val="209"/>
          <w:rFonts w:cs="Times New Roman"/>
          <w:b/>
          <w:color w:val="auto"/>
          <w:sz w:val="24"/>
          <w:highlight w:val="none"/>
        </w:rPr>
        <w:t>四、投标文件的组成及装订</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 xml:space="preserve">1、投标文件由 </w:t>
      </w:r>
      <w:r>
        <w:rPr>
          <w:rStyle w:val="209"/>
          <w:rFonts w:cs="Times New Roman"/>
          <w:b/>
          <w:bCs/>
          <w:color w:val="auto"/>
          <w:sz w:val="24"/>
          <w:highlight w:val="none"/>
          <w:u w:val="single" w:color="000000"/>
        </w:rPr>
        <w:t>“资格证明材料包”、“技术商务标”</w:t>
      </w:r>
      <w:r>
        <w:rPr>
          <w:rStyle w:val="209"/>
          <w:rFonts w:cs="Times New Roman"/>
          <w:color w:val="auto"/>
          <w:sz w:val="24"/>
          <w:highlight w:val="none"/>
        </w:rPr>
        <w:t>共2部分组成。</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2、供应商按项目需求结合第四章评审程序和方法并参照第七章投标文件的组成及相关格式编写投标文件，并牢固装订成册。投标文件均需采用A4纸（图纸等除外），不允许使用活页夹、拉杆夹、文件夹、塑料方便式书脊（插入式或穿孔式）装订。投标文件不得行间插字、涂改、增删，如修改错漏处，须经签署投标文件的供应商法人代表或其委托的代理人（以下称被委托受权人）签字（或盖章）并加盖公章。</w:t>
      </w:r>
    </w:p>
    <w:p>
      <w:pPr>
        <w:adjustRightInd w:val="0"/>
        <w:snapToGrid w:val="0"/>
        <w:spacing w:line="360" w:lineRule="auto"/>
        <w:ind w:firstLine="482" w:firstLineChars="200"/>
        <w:rPr>
          <w:rStyle w:val="209"/>
          <w:rFonts w:cs="Times New Roman"/>
          <w:b/>
          <w:bCs/>
          <w:color w:val="auto"/>
          <w:sz w:val="24"/>
          <w:highlight w:val="none"/>
        </w:rPr>
      </w:pPr>
      <w:r>
        <w:rPr>
          <w:rStyle w:val="209"/>
          <w:rFonts w:cs="Times New Roman"/>
          <w:b/>
          <w:bCs/>
          <w:color w:val="auto"/>
          <w:sz w:val="24"/>
          <w:highlight w:val="none"/>
        </w:rPr>
        <w:t>五、投标文件的份数、签署和退还</w:t>
      </w:r>
    </w:p>
    <w:p>
      <w:pPr>
        <w:adjustRightInd w:val="0"/>
        <w:snapToGrid w:val="0"/>
        <w:spacing w:line="360" w:lineRule="auto"/>
        <w:ind w:firstLine="480" w:firstLineChars="200"/>
        <w:rPr>
          <w:rStyle w:val="209"/>
          <w:rFonts w:cs="Times New Roman"/>
          <w:b/>
          <w:color w:val="auto"/>
          <w:sz w:val="24"/>
          <w:highlight w:val="none"/>
        </w:rPr>
      </w:pPr>
      <w:r>
        <w:rPr>
          <w:rStyle w:val="209"/>
          <w:rFonts w:cs="Times New Roman"/>
          <w:color w:val="auto"/>
          <w:sz w:val="24"/>
          <w:highlight w:val="none"/>
        </w:rPr>
        <w:t>1、投标文件均为</w:t>
      </w:r>
      <w:r>
        <w:rPr>
          <w:rStyle w:val="209"/>
          <w:rFonts w:cs="Times New Roman"/>
          <w:b/>
          <w:color w:val="auto"/>
          <w:sz w:val="24"/>
          <w:highlight w:val="none"/>
        </w:rPr>
        <w:t>一份“正本”和二份“副本”。</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2、在每一份投标文件上要明确标注项目名称及标段名称、投标文件各自对应的名称、供应商全称、“正本”、“副本”字样，“正本”和“副本”若有差异，概以“正本”为准。</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3、投标文件中的所有“正本”，须为打印的，其正文内容由法定代表人或被委托受权人签字（或盖章）并加盖公章，“副本”可为“正本”的复印件。</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4、开标程序顺利进行后，所有投标文件都将作为档案保存，不论中标与否，代理机构均不退回（未拆封的除外）。</w:t>
      </w:r>
    </w:p>
    <w:p>
      <w:pPr>
        <w:adjustRightInd w:val="0"/>
        <w:snapToGrid w:val="0"/>
        <w:spacing w:line="360" w:lineRule="auto"/>
        <w:ind w:firstLine="472" w:firstLineChars="196"/>
        <w:rPr>
          <w:rStyle w:val="209"/>
          <w:rFonts w:cs="Times New Roman"/>
          <w:b/>
          <w:bCs/>
          <w:color w:val="auto"/>
          <w:sz w:val="24"/>
          <w:highlight w:val="none"/>
        </w:rPr>
      </w:pPr>
      <w:r>
        <w:rPr>
          <w:rStyle w:val="209"/>
          <w:rFonts w:cs="Times New Roman"/>
          <w:b/>
          <w:bCs/>
          <w:color w:val="auto"/>
          <w:sz w:val="24"/>
          <w:highlight w:val="none"/>
        </w:rPr>
        <w:t>六、投标文件的密封及标记</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1、供应商须将本项目</w:t>
      </w:r>
      <w:r>
        <w:rPr>
          <w:rStyle w:val="209"/>
          <w:rFonts w:cs="Times New Roman"/>
          <w:b/>
          <w:bCs/>
          <w:color w:val="auto"/>
          <w:sz w:val="24"/>
          <w:highlight w:val="none"/>
        </w:rPr>
        <w:t>“资格证明材料包”、“技术商务标”</w:t>
      </w:r>
      <w:r>
        <w:rPr>
          <w:rStyle w:val="209"/>
          <w:rFonts w:cs="Times New Roman"/>
          <w:b/>
          <w:color w:val="auto"/>
          <w:sz w:val="24"/>
          <w:highlight w:val="none"/>
        </w:rPr>
        <w:t>分别单独密封</w:t>
      </w:r>
      <w:r>
        <w:rPr>
          <w:rStyle w:val="209"/>
          <w:rFonts w:cs="Times New Roman"/>
          <w:color w:val="auto"/>
          <w:sz w:val="24"/>
          <w:highlight w:val="none"/>
        </w:rPr>
        <w:t>。</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2、密封后，应在每一密封的投标文件上明确标注投标项目名称、投标文件各自对应的名称、供应商全称及日期，同时加盖供应商公章。</w:t>
      </w:r>
    </w:p>
    <w:p>
      <w:pPr>
        <w:adjustRightInd w:val="0"/>
        <w:snapToGrid w:val="0"/>
        <w:spacing w:line="360" w:lineRule="auto"/>
        <w:ind w:firstLine="472" w:firstLineChars="196"/>
        <w:rPr>
          <w:rStyle w:val="209"/>
          <w:rFonts w:cs="Times New Roman"/>
          <w:b/>
          <w:bCs/>
          <w:color w:val="auto"/>
          <w:sz w:val="24"/>
          <w:highlight w:val="none"/>
        </w:rPr>
      </w:pPr>
      <w:r>
        <w:rPr>
          <w:rStyle w:val="209"/>
          <w:rFonts w:cs="Times New Roman"/>
          <w:b/>
          <w:bCs/>
          <w:color w:val="auto"/>
          <w:sz w:val="24"/>
          <w:highlight w:val="none"/>
        </w:rPr>
        <w:t>七、投标文件内容</w:t>
      </w:r>
    </w:p>
    <w:p>
      <w:pPr>
        <w:adjustRightInd w:val="0"/>
        <w:snapToGrid w:val="0"/>
        <w:spacing w:line="360" w:lineRule="auto"/>
        <w:ind w:firstLine="487" w:firstLineChars="202"/>
        <w:rPr>
          <w:rStyle w:val="209"/>
          <w:rFonts w:cs="Times New Roman"/>
          <w:b/>
          <w:color w:val="auto"/>
          <w:sz w:val="24"/>
          <w:highlight w:val="none"/>
        </w:rPr>
      </w:pPr>
      <w:r>
        <w:rPr>
          <w:rStyle w:val="209"/>
          <w:rFonts w:cs="Times New Roman"/>
          <w:b/>
          <w:color w:val="auto"/>
          <w:sz w:val="24"/>
          <w:highlight w:val="none"/>
        </w:rPr>
        <w:t>A、资格证明材料包</w:t>
      </w:r>
      <w:r>
        <w:rPr>
          <w:rStyle w:val="209"/>
          <w:rFonts w:cs="Times New Roman"/>
          <w:color w:val="auto"/>
          <w:sz w:val="24"/>
          <w:highlight w:val="none"/>
        </w:rPr>
        <w:t>（格式参见第七章）（一个密封包，含一正二副文件）</w:t>
      </w:r>
      <w:r>
        <w:rPr>
          <w:rStyle w:val="209"/>
          <w:rFonts w:cs="Times New Roman"/>
          <w:b/>
          <w:color w:val="auto"/>
          <w:sz w:val="24"/>
          <w:highlight w:val="none"/>
        </w:rPr>
        <w:t>：</w:t>
      </w:r>
    </w:p>
    <w:p>
      <w:pPr>
        <w:adjustRightInd w:val="0"/>
        <w:snapToGrid w:val="0"/>
        <w:spacing w:line="360" w:lineRule="auto"/>
        <w:ind w:firstLine="484" w:firstLineChars="202"/>
        <w:rPr>
          <w:rStyle w:val="209"/>
          <w:rFonts w:cs="Times New Roman"/>
          <w:color w:val="auto"/>
          <w:sz w:val="24"/>
          <w:highlight w:val="none"/>
        </w:rPr>
      </w:pPr>
      <w:r>
        <w:rPr>
          <w:rStyle w:val="209"/>
          <w:rFonts w:cs="Times New Roman"/>
          <w:color w:val="auto"/>
          <w:sz w:val="24"/>
          <w:highlight w:val="none"/>
        </w:rPr>
        <w:t>（1）法定代表人身份证明书；</w:t>
      </w:r>
    </w:p>
    <w:p>
      <w:pPr>
        <w:adjustRightInd w:val="0"/>
        <w:snapToGrid w:val="0"/>
        <w:spacing w:line="360" w:lineRule="auto"/>
        <w:ind w:firstLine="484" w:firstLineChars="202"/>
        <w:rPr>
          <w:rStyle w:val="209"/>
          <w:rFonts w:cs="Times New Roman"/>
          <w:color w:val="auto"/>
          <w:sz w:val="24"/>
          <w:highlight w:val="none"/>
        </w:rPr>
      </w:pPr>
      <w:r>
        <w:rPr>
          <w:rStyle w:val="209"/>
          <w:rFonts w:cs="Times New Roman"/>
          <w:color w:val="auto"/>
          <w:sz w:val="24"/>
          <w:highlight w:val="none"/>
        </w:rPr>
        <w:t>（2）授权委托书(如有授权)；</w:t>
      </w:r>
    </w:p>
    <w:p>
      <w:pPr>
        <w:adjustRightInd w:val="0"/>
        <w:snapToGrid w:val="0"/>
        <w:spacing w:line="360" w:lineRule="auto"/>
        <w:ind w:firstLine="484" w:firstLineChars="202"/>
        <w:rPr>
          <w:rStyle w:val="209"/>
          <w:rFonts w:cs="Times New Roman"/>
          <w:color w:val="auto"/>
          <w:sz w:val="24"/>
          <w:highlight w:val="none"/>
        </w:rPr>
      </w:pPr>
      <w:r>
        <w:rPr>
          <w:rStyle w:val="209"/>
          <w:rFonts w:cs="Times New Roman"/>
          <w:color w:val="auto"/>
          <w:sz w:val="24"/>
          <w:highlight w:val="none"/>
        </w:rPr>
        <w:t>（3）有效的企业法人营业执照；</w:t>
      </w:r>
    </w:p>
    <w:p>
      <w:pPr>
        <w:adjustRightInd w:val="0"/>
        <w:snapToGrid w:val="0"/>
        <w:spacing w:line="360" w:lineRule="auto"/>
        <w:ind w:firstLine="484" w:firstLineChars="202"/>
        <w:rPr>
          <w:rStyle w:val="209"/>
          <w:rFonts w:cs="Times New Roman"/>
          <w:color w:val="auto"/>
          <w:sz w:val="24"/>
          <w:highlight w:val="none"/>
        </w:rPr>
      </w:pPr>
      <w:r>
        <w:rPr>
          <w:rStyle w:val="209"/>
          <w:rFonts w:cs="Times New Roman"/>
          <w:color w:val="auto"/>
          <w:sz w:val="24"/>
          <w:highlight w:val="none"/>
        </w:rPr>
        <w:t>（4）投标企业注册所在地人民银行核发的基本帐户开户许可证或基本账户信息；</w:t>
      </w:r>
    </w:p>
    <w:p>
      <w:pPr>
        <w:adjustRightInd w:val="0"/>
        <w:snapToGrid w:val="0"/>
        <w:spacing w:line="360" w:lineRule="auto"/>
        <w:ind w:firstLine="484" w:firstLineChars="202"/>
        <w:rPr>
          <w:rStyle w:val="209"/>
          <w:rFonts w:cs="Times New Roman"/>
          <w:color w:val="auto"/>
          <w:sz w:val="24"/>
          <w:highlight w:val="none"/>
        </w:rPr>
      </w:pPr>
      <w:r>
        <w:rPr>
          <w:rStyle w:val="209"/>
          <w:rFonts w:cs="Times New Roman"/>
          <w:color w:val="auto"/>
          <w:sz w:val="24"/>
          <w:highlight w:val="none"/>
        </w:rPr>
        <w:t>（5）《无重大违法记录声明函》（格式详见第七章）；</w:t>
      </w:r>
    </w:p>
    <w:p>
      <w:pPr>
        <w:adjustRightInd w:val="0"/>
        <w:snapToGrid w:val="0"/>
        <w:spacing w:line="360" w:lineRule="auto"/>
        <w:ind w:firstLine="484" w:firstLineChars="202"/>
        <w:rPr>
          <w:rStyle w:val="209"/>
          <w:rFonts w:cs="Times New Roman"/>
          <w:color w:val="auto"/>
          <w:sz w:val="24"/>
          <w:highlight w:val="none"/>
        </w:rPr>
      </w:pPr>
      <w:r>
        <w:rPr>
          <w:rStyle w:val="209"/>
          <w:rFonts w:cs="Times New Roman"/>
          <w:color w:val="auto"/>
          <w:sz w:val="24"/>
          <w:highlight w:val="none"/>
        </w:rPr>
        <w:t>（6）关于资格文件的声明函。（格式详见第七章）；</w:t>
      </w:r>
    </w:p>
    <w:p>
      <w:pPr>
        <w:adjustRightInd w:val="0"/>
        <w:snapToGrid w:val="0"/>
        <w:spacing w:line="360" w:lineRule="auto"/>
        <w:ind w:firstLine="484" w:firstLineChars="202"/>
        <w:rPr>
          <w:rStyle w:val="209"/>
          <w:rFonts w:cs="Times New Roman"/>
          <w:color w:val="auto"/>
          <w:sz w:val="24"/>
          <w:highlight w:val="none"/>
        </w:rPr>
      </w:pPr>
      <w:r>
        <w:rPr>
          <w:rStyle w:val="209"/>
          <w:rFonts w:cs="Times New Roman"/>
          <w:color w:val="auto"/>
          <w:sz w:val="24"/>
          <w:highlight w:val="none"/>
        </w:rPr>
        <w:t>（7）企业资质证书</w:t>
      </w:r>
    </w:p>
    <w:p>
      <w:pPr>
        <w:adjustRightInd w:val="0"/>
        <w:snapToGrid w:val="0"/>
        <w:spacing w:line="360" w:lineRule="auto"/>
        <w:ind w:firstLine="484" w:firstLineChars="202"/>
        <w:rPr>
          <w:rStyle w:val="209"/>
          <w:rFonts w:cs="Times New Roman"/>
          <w:color w:val="auto"/>
          <w:sz w:val="24"/>
          <w:highlight w:val="none"/>
        </w:rPr>
      </w:pPr>
      <w:r>
        <w:rPr>
          <w:rStyle w:val="209"/>
          <w:rFonts w:cs="Times New Roman"/>
          <w:color w:val="auto"/>
          <w:sz w:val="24"/>
          <w:highlight w:val="none"/>
        </w:rPr>
        <w:t>（8）《安全生产许可证》</w:t>
      </w:r>
    </w:p>
    <w:p>
      <w:pPr>
        <w:adjustRightInd w:val="0"/>
        <w:snapToGrid w:val="0"/>
        <w:spacing w:line="360" w:lineRule="auto"/>
        <w:ind w:firstLine="484" w:firstLineChars="202"/>
        <w:rPr>
          <w:rStyle w:val="209"/>
          <w:rFonts w:cs="Times New Roman"/>
          <w:color w:val="auto"/>
          <w:sz w:val="24"/>
          <w:highlight w:val="none"/>
        </w:rPr>
      </w:pPr>
      <w:r>
        <w:rPr>
          <w:rStyle w:val="209"/>
          <w:rFonts w:cs="Times New Roman"/>
          <w:color w:val="auto"/>
          <w:sz w:val="24"/>
          <w:highlight w:val="none"/>
        </w:rPr>
        <w:t>（9）项目负责人资格证书</w:t>
      </w:r>
    </w:p>
    <w:p>
      <w:pPr>
        <w:adjustRightInd w:val="0"/>
        <w:snapToGrid w:val="0"/>
        <w:spacing w:line="360" w:lineRule="auto"/>
        <w:ind w:firstLine="484" w:firstLineChars="202"/>
        <w:rPr>
          <w:rStyle w:val="209"/>
          <w:rFonts w:cs="Times New Roman"/>
          <w:color w:val="auto"/>
          <w:sz w:val="24"/>
          <w:highlight w:val="none"/>
        </w:rPr>
      </w:pPr>
      <w:r>
        <w:rPr>
          <w:rStyle w:val="209"/>
          <w:rFonts w:cs="Times New Roman"/>
          <w:color w:val="auto"/>
          <w:sz w:val="24"/>
          <w:highlight w:val="none"/>
        </w:rPr>
        <w:t>（10）项目负责人安全B证</w:t>
      </w:r>
    </w:p>
    <w:p>
      <w:pPr>
        <w:adjustRightInd w:val="0"/>
        <w:snapToGrid w:val="0"/>
        <w:spacing w:line="360" w:lineRule="auto"/>
        <w:ind w:firstLine="484" w:firstLineChars="202"/>
        <w:rPr>
          <w:rStyle w:val="209"/>
          <w:rFonts w:cs="Times New Roman"/>
          <w:color w:val="auto"/>
          <w:sz w:val="24"/>
          <w:highlight w:val="none"/>
        </w:rPr>
      </w:pPr>
      <w:r>
        <w:rPr>
          <w:rStyle w:val="209"/>
          <w:rFonts w:cs="Times New Roman"/>
          <w:color w:val="auto"/>
          <w:sz w:val="24"/>
          <w:highlight w:val="none"/>
        </w:rPr>
        <w:t>（11）</w:t>
      </w:r>
      <w:r>
        <w:rPr>
          <w:rStyle w:val="32"/>
          <w:rFonts w:cs="Times New Roman"/>
          <w:color w:val="auto"/>
          <w:kern w:val="0"/>
          <w:sz w:val="24"/>
          <w:szCs w:val="24"/>
          <w:highlight w:val="none"/>
        </w:rPr>
        <w:t>“信用中国”网站（www.creditchina.gov.cn）截图</w:t>
      </w:r>
    </w:p>
    <w:p>
      <w:pPr>
        <w:adjustRightInd w:val="0"/>
        <w:snapToGrid w:val="0"/>
        <w:spacing w:line="360" w:lineRule="auto"/>
        <w:ind w:firstLine="484" w:firstLineChars="202"/>
        <w:rPr>
          <w:rStyle w:val="209"/>
          <w:rFonts w:cs="Times New Roman"/>
          <w:color w:val="auto"/>
          <w:sz w:val="24"/>
          <w:highlight w:val="none"/>
        </w:rPr>
      </w:pPr>
      <w:r>
        <w:rPr>
          <w:rStyle w:val="209"/>
          <w:rFonts w:cs="Times New Roman"/>
          <w:color w:val="auto"/>
          <w:sz w:val="24"/>
          <w:highlight w:val="none"/>
        </w:rPr>
        <w:t>（12）报价的承诺函。（格式详见第七章）；</w:t>
      </w:r>
    </w:p>
    <w:p>
      <w:pPr>
        <w:adjustRightInd w:val="0"/>
        <w:snapToGrid w:val="0"/>
        <w:spacing w:line="360" w:lineRule="auto"/>
        <w:ind w:firstLine="484" w:firstLineChars="202"/>
        <w:rPr>
          <w:rStyle w:val="209"/>
          <w:rFonts w:cs="Times New Roman"/>
          <w:color w:val="auto"/>
          <w:sz w:val="24"/>
          <w:highlight w:val="none"/>
        </w:rPr>
      </w:pPr>
      <w:r>
        <w:rPr>
          <w:rStyle w:val="209"/>
          <w:rFonts w:cs="Times New Roman"/>
          <w:color w:val="auto"/>
          <w:sz w:val="24"/>
          <w:highlight w:val="none"/>
        </w:rPr>
        <w:t>（13）资格审查要求中所提所需资料。</w:t>
      </w:r>
    </w:p>
    <w:p>
      <w:pPr>
        <w:adjustRightInd w:val="0"/>
        <w:snapToGrid w:val="0"/>
        <w:spacing w:line="360" w:lineRule="auto"/>
        <w:ind w:firstLine="484" w:firstLineChars="202"/>
        <w:rPr>
          <w:rStyle w:val="209"/>
          <w:rFonts w:cs="Times New Roman"/>
          <w:color w:val="auto"/>
          <w:sz w:val="24"/>
          <w:highlight w:val="none"/>
        </w:rPr>
      </w:pPr>
      <w:r>
        <w:rPr>
          <w:rStyle w:val="209"/>
          <w:rFonts w:cs="Times New Roman"/>
          <w:color w:val="auto"/>
          <w:sz w:val="24"/>
          <w:highlight w:val="none"/>
        </w:rPr>
        <w:t>【特别提醒】1、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中标，采购人有权取消其中标资格，并由该供应商承担由此带来可能的一切责任和损失。</w:t>
      </w:r>
    </w:p>
    <w:p>
      <w:pPr>
        <w:adjustRightInd w:val="0"/>
        <w:snapToGrid w:val="0"/>
        <w:spacing w:line="360" w:lineRule="auto"/>
        <w:ind w:firstLine="484" w:firstLineChars="202"/>
        <w:rPr>
          <w:rStyle w:val="209"/>
          <w:rFonts w:cs="Times New Roman"/>
          <w:color w:val="auto"/>
          <w:sz w:val="24"/>
          <w:highlight w:val="none"/>
        </w:rPr>
      </w:pPr>
      <w:r>
        <w:rPr>
          <w:rStyle w:val="209"/>
          <w:rFonts w:cs="Times New Roman"/>
          <w:color w:val="auto"/>
          <w:sz w:val="24"/>
          <w:highlight w:val="none"/>
        </w:rPr>
        <w:t>2、须在封袋密封处加盖供应商印章。</w:t>
      </w:r>
    </w:p>
    <w:p>
      <w:pPr>
        <w:adjustRightInd w:val="0"/>
        <w:snapToGrid w:val="0"/>
        <w:spacing w:line="360" w:lineRule="auto"/>
        <w:ind w:firstLine="484" w:firstLineChars="202"/>
        <w:rPr>
          <w:rStyle w:val="209"/>
          <w:rFonts w:cs="Times New Roman"/>
          <w:color w:val="auto"/>
          <w:sz w:val="24"/>
          <w:highlight w:val="none"/>
        </w:rPr>
      </w:pPr>
      <w:r>
        <w:rPr>
          <w:rStyle w:val="209"/>
          <w:rFonts w:cs="Times New Roman"/>
          <w:color w:val="auto"/>
          <w:sz w:val="24"/>
          <w:highlight w:val="none"/>
        </w:rPr>
        <w:t>3、“资格证明材料包”内的所有材料复印件，须加盖供应商的公章并装订成册。</w:t>
      </w:r>
    </w:p>
    <w:p>
      <w:pPr>
        <w:adjustRightInd w:val="0"/>
        <w:snapToGrid w:val="0"/>
        <w:spacing w:line="360" w:lineRule="auto"/>
        <w:ind w:firstLine="484" w:firstLineChars="202"/>
        <w:rPr>
          <w:rStyle w:val="209"/>
          <w:rFonts w:cs="Times New Roman"/>
          <w:color w:val="auto"/>
          <w:sz w:val="24"/>
          <w:highlight w:val="none"/>
        </w:rPr>
      </w:pPr>
      <w:r>
        <w:rPr>
          <w:rStyle w:val="209"/>
          <w:rFonts w:cs="Times New Roman"/>
          <w:color w:val="auto"/>
          <w:sz w:val="24"/>
          <w:highlight w:val="none"/>
        </w:rPr>
        <w:t>4、以上材料为复印件需携带原件备查，未携带要求的原件或因携带原件不齐全而引起的后果，由供应商自负。</w:t>
      </w:r>
    </w:p>
    <w:p>
      <w:pPr>
        <w:adjustRightInd w:val="0"/>
        <w:snapToGrid w:val="0"/>
        <w:spacing w:line="360" w:lineRule="auto"/>
        <w:ind w:firstLine="487" w:firstLineChars="202"/>
        <w:rPr>
          <w:rStyle w:val="209"/>
          <w:rFonts w:cs="Times New Roman"/>
          <w:b/>
          <w:color w:val="auto"/>
          <w:sz w:val="24"/>
          <w:highlight w:val="none"/>
        </w:rPr>
      </w:pPr>
      <w:r>
        <w:rPr>
          <w:rStyle w:val="209"/>
          <w:rFonts w:cs="Times New Roman"/>
          <w:b/>
          <w:color w:val="auto"/>
          <w:sz w:val="24"/>
          <w:highlight w:val="none"/>
        </w:rPr>
        <w:t>B、技术商务标（格式参见第七章）</w:t>
      </w:r>
      <w:r>
        <w:rPr>
          <w:rStyle w:val="209"/>
          <w:rFonts w:cs="Times New Roman"/>
          <w:color w:val="auto"/>
          <w:sz w:val="24"/>
          <w:highlight w:val="none"/>
        </w:rPr>
        <w:t>（一个密封包，含一正二副文件）</w:t>
      </w:r>
      <w:r>
        <w:rPr>
          <w:rStyle w:val="209"/>
          <w:rFonts w:cs="Times New Roman"/>
          <w:b/>
          <w:color w:val="auto"/>
          <w:sz w:val="24"/>
          <w:highlight w:val="none"/>
        </w:rPr>
        <w:t>：</w:t>
      </w:r>
    </w:p>
    <w:p>
      <w:pPr>
        <w:adjustRightInd w:val="0"/>
        <w:snapToGrid w:val="0"/>
        <w:spacing w:line="360" w:lineRule="auto"/>
        <w:ind w:firstLine="491" w:firstLineChars="205"/>
        <w:rPr>
          <w:rStyle w:val="209"/>
          <w:rFonts w:cs="Times New Roman"/>
          <w:color w:val="auto"/>
          <w:sz w:val="24"/>
          <w:highlight w:val="none"/>
          <w:u w:val="thick"/>
        </w:rPr>
      </w:pPr>
      <w:r>
        <w:rPr>
          <w:rStyle w:val="209"/>
          <w:rFonts w:cs="Times New Roman"/>
          <w:color w:val="auto"/>
          <w:sz w:val="24"/>
          <w:highlight w:val="none"/>
        </w:rPr>
        <w:t>【特别提醒】供应商应根据本招标文件第三章“项目需求”提供的主要服务要求标准，仔细阅读并在理解的基础上结合现场踏勘的资料与第四章“评审程序和方法”内的评审细则，编写编制技术标文件。以下技术标文件的内容，不得有缺项或漏项。否则将有可能被视为未实质性响应招标文件要求而作无效投标处理，亦可能直接影响技术标评审的得分。</w:t>
      </w:r>
    </w:p>
    <w:p>
      <w:pPr>
        <w:pStyle w:val="211"/>
        <w:adjustRightInd w:val="0"/>
        <w:snapToGrid w:val="0"/>
        <w:spacing w:line="360" w:lineRule="auto"/>
        <w:ind w:firstLine="480" w:firstLineChars="200"/>
        <w:rPr>
          <w:rStyle w:val="209"/>
          <w:rFonts w:ascii="Times New Roman" w:cs="Times New Roman"/>
          <w:bCs/>
          <w:color w:val="auto"/>
          <w:sz w:val="24"/>
          <w:highlight w:val="none"/>
        </w:rPr>
      </w:pPr>
      <w:r>
        <w:rPr>
          <w:rStyle w:val="209"/>
          <w:rFonts w:ascii="Times New Roman" w:cs="Times New Roman"/>
          <w:bCs/>
          <w:color w:val="auto"/>
          <w:sz w:val="24"/>
          <w:highlight w:val="none"/>
        </w:rPr>
        <w:t>1、投标函；</w:t>
      </w:r>
    </w:p>
    <w:p>
      <w:pPr>
        <w:pStyle w:val="211"/>
        <w:adjustRightInd w:val="0"/>
        <w:snapToGrid w:val="0"/>
        <w:spacing w:line="360" w:lineRule="auto"/>
        <w:ind w:firstLine="480" w:firstLineChars="200"/>
        <w:rPr>
          <w:rStyle w:val="209"/>
          <w:rFonts w:ascii="Times New Roman" w:cs="Times New Roman"/>
          <w:bCs/>
          <w:color w:val="auto"/>
          <w:sz w:val="24"/>
          <w:highlight w:val="none"/>
        </w:rPr>
      </w:pPr>
      <w:r>
        <w:rPr>
          <w:rStyle w:val="209"/>
          <w:rFonts w:ascii="Times New Roman" w:cs="Times New Roman"/>
          <w:bCs/>
          <w:color w:val="auto"/>
          <w:sz w:val="24"/>
          <w:highlight w:val="none"/>
        </w:rPr>
        <w:t>2、根据招标文件 “评标方法”中技术商务部分的评标标准依次提供相应材料。</w:t>
      </w:r>
    </w:p>
    <w:p>
      <w:pPr>
        <w:adjustRightInd w:val="0"/>
        <w:snapToGrid w:val="0"/>
        <w:spacing w:line="360" w:lineRule="auto"/>
        <w:ind w:firstLine="484" w:firstLineChars="202"/>
        <w:rPr>
          <w:rStyle w:val="209"/>
          <w:rFonts w:cs="Times New Roman"/>
          <w:color w:val="auto"/>
          <w:sz w:val="24"/>
          <w:highlight w:val="none"/>
        </w:rPr>
      </w:pPr>
      <w:r>
        <w:rPr>
          <w:rStyle w:val="209"/>
          <w:rFonts w:cs="Times New Roman"/>
          <w:color w:val="auto"/>
          <w:sz w:val="24"/>
          <w:highlight w:val="none"/>
        </w:rPr>
        <w:t>以上材料为复印件的需加盖投标单位公章。复印件需携带原件备查，未携带要求的原件或因携带原件不齐全而引起的后果，由供应商自负。</w:t>
      </w:r>
    </w:p>
    <w:p>
      <w:pPr>
        <w:adjustRightInd w:val="0"/>
        <w:snapToGrid w:val="0"/>
        <w:spacing w:line="360" w:lineRule="auto"/>
        <w:ind w:firstLine="496" w:firstLineChars="206"/>
        <w:rPr>
          <w:rStyle w:val="209"/>
          <w:rFonts w:cs="Times New Roman"/>
          <w:b/>
          <w:bCs/>
          <w:color w:val="auto"/>
          <w:sz w:val="24"/>
          <w:highlight w:val="none"/>
        </w:rPr>
      </w:pPr>
      <w:r>
        <w:rPr>
          <w:rStyle w:val="209"/>
          <w:rFonts w:cs="Times New Roman"/>
          <w:b/>
          <w:bCs/>
          <w:color w:val="auto"/>
          <w:sz w:val="24"/>
          <w:highlight w:val="none"/>
        </w:rPr>
        <w:t>八、联合投标：</w:t>
      </w:r>
    </w:p>
    <w:p>
      <w:pPr>
        <w:adjustRightInd w:val="0"/>
        <w:snapToGrid w:val="0"/>
        <w:spacing w:line="360" w:lineRule="auto"/>
        <w:ind w:firstLine="480" w:firstLineChars="200"/>
        <w:rPr>
          <w:rStyle w:val="209"/>
          <w:rFonts w:cs="Times New Roman"/>
          <w:b/>
          <w:bCs/>
          <w:color w:val="auto"/>
          <w:sz w:val="24"/>
          <w:highlight w:val="none"/>
        </w:rPr>
      </w:pPr>
      <w:r>
        <w:rPr>
          <w:rStyle w:val="209"/>
          <w:rFonts w:cs="Times New Roman"/>
          <w:color w:val="auto"/>
          <w:sz w:val="24"/>
          <w:highlight w:val="none"/>
        </w:rPr>
        <w:t>本项目不接受供应商组成联合体参与投标。</w:t>
      </w:r>
    </w:p>
    <w:p>
      <w:pPr>
        <w:adjustRightInd w:val="0"/>
        <w:snapToGrid w:val="0"/>
        <w:spacing w:line="360" w:lineRule="auto"/>
        <w:ind w:firstLine="496" w:firstLineChars="206"/>
        <w:rPr>
          <w:rStyle w:val="209"/>
          <w:rFonts w:cs="Times New Roman"/>
          <w:color w:val="auto"/>
          <w:sz w:val="24"/>
          <w:highlight w:val="none"/>
        </w:rPr>
      </w:pPr>
      <w:r>
        <w:rPr>
          <w:rStyle w:val="209"/>
          <w:rFonts w:cs="Times New Roman"/>
          <w:b/>
          <w:bCs/>
          <w:color w:val="auto"/>
          <w:sz w:val="24"/>
          <w:highlight w:val="none"/>
        </w:rPr>
        <w:t>九、投标文件递交</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投标文件接收人：采购代理机构；</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接收截止时间：</w:t>
      </w:r>
      <w:r>
        <w:rPr>
          <w:rStyle w:val="209"/>
          <w:rFonts w:cs="Times New Roman"/>
          <w:b/>
          <w:color w:val="auto"/>
          <w:sz w:val="24"/>
          <w:highlight w:val="none"/>
        </w:rPr>
        <w:t>见招标公告</w:t>
      </w:r>
      <w:r>
        <w:rPr>
          <w:rStyle w:val="209"/>
          <w:rFonts w:cs="Times New Roman"/>
          <w:color w:val="auto"/>
          <w:sz w:val="24"/>
          <w:highlight w:val="none"/>
        </w:rPr>
        <w:t>。</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接收地址：</w:t>
      </w:r>
      <w:r>
        <w:rPr>
          <w:rStyle w:val="209"/>
          <w:rFonts w:cs="Times New Roman"/>
          <w:b/>
          <w:color w:val="auto"/>
          <w:sz w:val="24"/>
          <w:highlight w:val="none"/>
        </w:rPr>
        <w:t>见招标公告</w:t>
      </w:r>
      <w:r>
        <w:rPr>
          <w:rStyle w:val="209"/>
          <w:rFonts w:cs="Times New Roman"/>
          <w:color w:val="auto"/>
          <w:sz w:val="24"/>
          <w:highlight w:val="none"/>
        </w:rPr>
        <w:t>。</w:t>
      </w:r>
    </w:p>
    <w:p>
      <w:pPr>
        <w:adjustRightInd w:val="0"/>
        <w:snapToGrid w:val="0"/>
        <w:spacing w:line="360" w:lineRule="auto"/>
        <w:ind w:firstLine="496" w:firstLineChars="206"/>
        <w:rPr>
          <w:rStyle w:val="209"/>
          <w:rFonts w:cs="Times New Roman"/>
          <w:color w:val="auto"/>
          <w:sz w:val="24"/>
          <w:highlight w:val="none"/>
        </w:rPr>
      </w:pPr>
      <w:r>
        <w:rPr>
          <w:rStyle w:val="209"/>
          <w:rFonts w:cs="Times New Roman"/>
          <w:b/>
          <w:bCs/>
          <w:color w:val="auto"/>
          <w:sz w:val="24"/>
          <w:highlight w:val="none"/>
        </w:rPr>
        <w:t>十、投标文件的有效期</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1、从投标文件接收截止之日算起，45个日历天内投标书应保持有效。有效期短于这个规定期限的投标，将被拒绝。</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2、在特殊情况下，采购代理机构可与供应商协商延长投标书的有效期。这种要求和答复都应以书面、传真、或电报的形式进行。</w:t>
      </w:r>
    </w:p>
    <w:p>
      <w:pPr>
        <w:adjustRightInd w:val="0"/>
        <w:snapToGrid w:val="0"/>
        <w:spacing w:line="360" w:lineRule="auto"/>
        <w:ind w:firstLine="496" w:firstLineChars="206"/>
        <w:rPr>
          <w:rStyle w:val="209"/>
          <w:rFonts w:cs="Times New Roman"/>
          <w:color w:val="auto"/>
          <w:sz w:val="24"/>
          <w:highlight w:val="none"/>
        </w:rPr>
      </w:pPr>
      <w:r>
        <w:rPr>
          <w:rStyle w:val="209"/>
          <w:rFonts w:cs="Times New Roman"/>
          <w:b/>
          <w:bCs/>
          <w:color w:val="auto"/>
          <w:sz w:val="24"/>
          <w:highlight w:val="none"/>
        </w:rPr>
        <w:t>十一、开标、评标</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1、开标时间</w:t>
      </w:r>
      <w:r>
        <w:rPr>
          <w:rStyle w:val="209"/>
          <w:rFonts w:cs="Times New Roman"/>
          <w:b/>
          <w:color w:val="auto"/>
          <w:sz w:val="24"/>
          <w:highlight w:val="none"/>
        </w:rPr>
        <w:t>：</w:t>
      </w:r>
      <w:r>
        <w:rPr>
          <w:rStyle w:val="209"/>
          <w:rFonts w:cs="Times New Roman"/>
          <w:b/>
          <w:color w:val="auto"/>
          <w:sz w:val="24"/>
          <w:highlight w:val="none"/>
          <w:u w:val="single"/>
        </w:rPr>
        <w:t>见招标公告</w:t>
      </w:r>
      <w:r>
        <w:rPr>
          <w:rStyle w:val="209"/>
          <w:rFonts w:cs="Times New Roman"/>
          <w:b/>
          <w:color w:val="auto"/>
          <w:sz w:val="24"/>
          <w:highlight w:val="none"/>
        </w:rPr>
        <w:t>；</w:t>
      </w:r>
      <w:r>
        <w:rPr>
          <w:rStyle w:val="209"/>
          <w:rFonts w:cs="Times New Roman"/>
          <w:color w:val="auto"/>
          <w:sz w:val="24"/>
          <w:highlight w:val="none"/>
        </w:rPr>
        <w:t>开标地点：</w:t>
      </w:r>
      <w:r>
        <w:rPr>
          <w:rStyle w:val="209"/>
          <w:rFonts w:cs="Times New Roman"/>
          <w:color w:val="auto"/>
          <w:sz w:val="24"/>
          <w:highlight w:val="none"/>
          <w:u w:val="single" w:color="000000"/>
        </w:rPr>
        <w:t xml:space="preserve">  </w:t>
      </w:r>
      <w:r>
        <w:rPr>
          <w:rStyle w:val="209"/>
          <w:rFonts w:cs="Times New Roman"/>
          <w:b/>
          <w:color w:val="auto"/>
          <w:sz w:val="24"/>
          <w:highlight w:val="none"/>
          <w:u w:val="single"/>
        </w:rPr>
        <w:t>见招标公告</w:t>
      </w:r>
      <w:r>
        <w:rPr>
          <w:rStyle w:val="209"/>
          <w:rFonts w:cs="Times New Roman"/>
          <w:color w:val="auto"/>
          <w:sz w:val="24"/>
          <w:highlight w:val="none"/>
          <w:u w:val="single" w:color="000000"/>
        </w:rPr>
        <w:t xml:space="preserve">   </w:t>
      </w:r>
      <w:r>
        <w:rPr>
          <w:rStyle w:val="209"/>
          <w:rFonts w:cs="Times New Roman"/>
          <w:color w:val="auto"/>
          <w:sz w:val="24"/>
          <w:highlight w:val="none"/>
        </w:rPr>
        <w:t>；</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2、评标委员会将对供应商的资格进行审查，审查通过方可参与项目的评标。</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3、资格审查时间：</w:t>
      </w:r>
      <w:r>
        <w:rPr>
          <w:rStyle w:val="209"/>
          <w:rFonts w:cs="Times New Roman"/>
          <w:b/>
          <w:color w:val="auto"/>
          <w:sz w:val="24"/>
          <w:highlight w:val="none"/>
        </w:rPr>
        <w:t>开标结束后当即开始</w:t>
      </w:r>
      <w:r>
        <w:rPr>
          <w:rStyle w:val="209"/>
          <w:rFonts w:cs="Times New Roman"/>
          <w:color w:val="auto"/>
          <w:sz w:val="24"/>
          <w:highlight w:val="none"/>
        </w:rPr>
        <w:t>。</w:t>
      </w:r>
    </w:p>
    <w:p>
      <w:pPr>
        <w:adjustRightInd w:val="0"/>
        <w:snapToGrid w:val="0"/>
        <w:spacing w:line="360" w:lineRule="auto"/>
        <w:ind w:firstLine="480" w:firstLineChars="200"/>
        <w:rPr>
          <w:rStyle w:val="209"/>
          <w:rFonts w:cs="Times New Roman"/>
          <w:color w:val="auto"/>
          <w:sz w:val="24"/>
          <w:highlight w:val="none"/>
        </w:rPr>
      </w:pPr>
      <w:r>
        <w:rPr>
          <w:rStyle w:val="209"/>
          <w:rFonts w:cs="Times New Roman"/>
          <w:color w:val="auto"/>
          <w:sz w:val="24"/>
          <w:highlight w:val="none"/>
        </w:rPr>
        <w:t>4、评标时间：</w:t>
      </w:r>
      <w:r>
        <w:rPr>
          <w:rStyle w:val="209"/>
          <w:rFonts w:cs="Times New Roman"/>
          <w:b/>
          <w:color w:val="auto"/>
          <w:sz w:val="24"/>
          <w:highlight w:val="none"/>
        </w:rPr>
        <w:t>资格审查结束后当即开始</w:t>
      </w:r>
      <w:r>
        <w:rPr>
          <w:rStyle w:val="209"/>
          <w:rFonts w:cs="Times New Roman"/>
          <w:color w:val="auto"/>
          <w:sz w:val="24"/>
          <w:highlight w:val="none"/>
        </w:rPr>
        <w:t xml:space="preserve">。 </w:t>
      </w:r>
    </w:p>
    <w:p>
      <w:pPr>
        <w:adjustRightInd w:val="0"/>
        <w:snapToGrid w:val="0"/>
        <w:spacing w:line="360" w:lineRule="auto"/>
        <w:ind w:firstLine="496" w:firstLineChars="206"/>
        <w:rPr>
          <w:rStyle w:val="209"/>
          <w:rFonts w:cs="Times New Roman"/>
          <w:b/>
          <w:bCs/>
          <w:color w:val="auto"/>
          <w:sz w:val="24"/>
          <w:highlight w:val="none"/>
        </w:rPr>
      </w:pPr>
      <w:r>
        <w:rPr>
          <w:rStyle w:val="209"/>
          <w:rFonts w:cs="Times New Roman"/>
          <w:b/>
          <w:bCs/>
          <w:color w:val="auto"/>
          <w:sz w:val="24"/>
          <w:highlight w:val="none"/>
        </w:rPr>
        <w:t>十二、投标报价</w:t>
      </w:r>
    </w:p>
    <w:p>
      <w:pPr>
        <w:adjustRightInd w:val="0"/>
        <w:snapToGrid w:val="0"/>
        <w:spacing w:line="360" w:lineRule="auto"/>
        <w:ind w:firstLine="494" w:firstLineChars="206"/>
        <w:rPr>
          <w:rStyle w:val="209"/>
          <w:rFonts w:cs="Times New Roman"/>
          <w:color w:val="auto"/>
          <w:sz w:val="24"/>
          <w:highlight w:val="none"/>
        </w:rPr>
      </w:pPr>
      <w:r>
        <w:rPr>
          <w:rStyle w:val="209"/>
          <w:rFonts w:cs="Times New Roman"/>
          <w:color w:val="auto"/>
          <w:sz w:val="24"/>
          <w:highlight w:val="none"/>
        </w:rPr>
        <w:t>1、一个标的只允许一个报价，不接受任何有选择性的报价。</w:t>
      </w:r>
    </w:p>
    <w:p>
      <w:pPr>
        <w:adjustRightInd w:val="0"/>
        <w:snapToGrid w:val="0"/>
        <w:spacing w:line="360" w:lineRule="auto"/>
        <w:ind w:firstLine="482" w:firstLineChars="200"/>
        <w:rPr>
          <w:rStyle w:val="209"/>
          <w:rFonts w:cs="Times New Roman"/>
          <w:b/>
          <w:bCs/>
          <w:color w:val="auto"/>
          <w:sz w:val="24"/>
          <w:highlight w:val="none"/>
          <w:lang w:val="zh-CN"/>
        </w:rPr>
      </w:pPr>
      <w:r>
        <w:rPr>
          <w:rStyle w:val="209"/>
          <w:rFonts w:cs="Times New Roman"/>
          <w:b/>
          <w:bCs/>
          <w:color w:val="auto"/>
          <w:sz w:val="24"/>
          <w:highlight w:val="none"/>
          <w:lang w:val="zh-CN"/>
        </w:rPr>
        <w:t>十三、</w:t>
      </w:r>
      <w:r>
        <w:rPr>
          <w:rStyle w:val="209"/>
          <w:rFonts w:cs="Times New Roman"/>
          <w:b/>
          <w:bCs/>
          <w:color w:val="auto"/>
          <w:sz w:val="24"/>
          <w:highlight w:val="none"/>
        </w:rPr>
        <w:t>投标</w:t>
      </w:r>
      <w:r>
        <w:rPr>
          <w:rStyle w:val="209"/>
          <w:rFonts w:cs="Times New Roman"/>
          <w:b/>
          <w:bCs/>
          <w:color w:val="auto"/>
          <w:sz w:val="24"/>
          <w:highlight w:val="none"/>
          <w:lang w:val="zh-CN"/>
        </w:rPr>
        <w:t>保证金：</w:t>
      </w:r>
    </w:p>
    <w:p>
      <w:pPr>
        <w:tabs>
          <w:tab w:val="left" w:pos="900"/>
        </w:tabs>
        <w:snapToGrid w:val="0"/>
        <w:spacing w:line="360" w:lineRule="auto"/>
        <w:ind w:firstLine="480" w:firstLineChars="200"/>
        <w:rPr>
          <w:rStyle w:val="32"/>
          <w:rFonts w:hint="eastAsia" w:cs="Times New Roman"/>
          <w:color w:val="auto"/>
          <w:sz w:val="24"/>
          <w:szCs w:val="24"/>
          <w:highlight w:val="none"/>
        </w:rPr>
      </w:pPr>
      <w:r>
        <w:rPr>
          <w:rStyle w:val="32"/>
          <w:rFonts w:hint="eastAsia" w:cs="Times New Roman"/>
          <w:color w:val="auto"/>
          <w:sz w:val="24"/>
          <w:szCs w:val="24"/>
          <w:highlight w:val="none"/>
        </w:rPr>
        <w:t>1．本次项目磋商保证金为：人民币</w:t>
      </w:r>
      <w:r>
        <w:rPr>
          <w:rStyle w:val="32"/>
          <w:rFonts w:hint="eastAsia" w:cs="Times New Roman"/>
          <w:color w:val="auto"/>
          <w:sz w:val="24"/>
          <w:szCs w:val="24"/>
          <w:highlight w:val="none"/>
          <w:lang w:val="en-US" w:eastAsia="zh-CN"/>
        </w:rPr>
        <w:t>伍万</w:t>
      </w:r>
      <w:r>
        <w:rPr>
          <w:rStyle w:val="32"/>
          <w:rFonts w:hint="eastAsia" w:cs="Times New Roman"/>
          <w:color w:val="auto"/>
          <w:sz w:val="24"/>
          <w:szCs w:val="24"/>
          <w:highlight w:val="none"/>
        </w:rPr>
        <w:t>元（¥</w:t>
      </w:r>
      <w:r>
        <w:rPr>
          <w:rStyle w:val="32"/>
          <w:rFonts w:hint="eastAsia" w:cs="Times New Roman"/>
          <w:color w:val="auto"/>
          <w:sz w:val="24"/>
          <w:szCs w:val="24"/>
          <w:highlight w:val="none"/>
          <w:lang w:val="en-US" w:eastAsia="zh-CN"/>
        </w:rPr>
        <w:t>500</w:t>
      </w:r>
      <w:r>
        <w:rPr>
          <w:rStyle w:val="32"/>
          <w:rFonts w:hint="eastAsia" w:cs="Times New Roman"/>
          <w:color w:val="auto"/>
          <w:sz w:val="24"/>
          <w:szCs w:val="24"/>
          <w:highlight w:val="none"/>
        </w:rPr>
        <w:t>00元）。</w:t>
      </w:r>
    </w:p>
    <w:p>
      <w:pPr>
        <w:tabs>
          <w:tab w:val="left" w:pos="900"/>
        </w:tabs>
        <w:snapToGrid w:val="0"/>
        <w:spacing w:line="360" w:lineRule="auto"/>
        <w:ind w:firstLine="480" w:firstLineChars="200"/>
        <w:rPr>
          <w:rStyle w:val="32"/>
          <w:rFonts w:hint="eastAsia" w:cs="Times New Roman"/>
          <w:color w:val="auto"/>
          <w:sz w:val="24"/>
          <w:szCs w:val="24"/>
          <w:highlight w:val="none"/>
        </w:rPr>
      </w:pPr>
      <w:r>
        <w:rPr>
          <w:rStyle w:val="32"/>
          <w:rFonts w:hint="eastAsia" w:cs="Times New Roman"/>
          <w:color w:val="auto"/>
          <w:sz w:val="24"/>
          <w:szCs w:val="24"/>
          <w:highlight w:val="none"/>
        </w:rPr>
        <w:t>2．磋商保证金必须选择下列一种形式：电汇、银行汇票。</w:t>
      </w:r>
    </w:p>
    <w:p>
      <w:pPr>
        <w:tabs>
          <w:tab w:val="left" w:pos="900"/>
        </w:tabs>
        <w:snapToGrid w:val="0"/>
        <w:spacing w:line="360" w:lineRule="auto"/>
        <w:ind w:firstLine="480" w:firstLineChars="200"/>
        <w:rPr>
          <w:rStyle w:val="32"/>
          <w:rFonts w:hint="eastAsia" w:cs="Times New Roman"/>
          <w:color w:val="auto"/>
          <w:sz w:val="24"/>
          <w:szCs w:val="24"/>
          <w:highlight w:val="none"/>
        </w:rPr>
      </w:pPr>
      <w:r>
        <w:rPr>
          <w:rStyle w:val="32"/>
          <w:rFonts w:hint="eastAsia" w:cs="Times New Roman"/>
          <w:color w:val="auto"/>
          <w:sz w:val="24"/>
          <w:szCs w:val="24"/>
          <w:highlight w:val="none"/>
        </w:rPr>
        <w:t>（1）若采用电汇，供应商应在上述磋商保证金递交截止之前，将磋商保证金由供应商基本帐户一次性汇入采购人指定账户，否则视为磋商保证金无效。</w:t>
      </w:r>
    </w:p>
    <w:p>
      <w:pPr>
        <w:tabs>
          <w:tab w:val="left" w:pos="900"/>
        </w:tabs>
        <w:snapToGrid w:val="0"/>
        <w:spacing w:line="360" w:lineRule="auto"/>
        <w:ind w:firstLine="480" w:firstLineChars="200"/>
        <w:rPr>
          <w:rStyle w:val="32"/>
          <w:rFonts w:hint="eastAsia" w:cs="Times New Roman"/>
          <w:color w:val="auto"/>
          <w:sz w:val="24"/>
          <w:szCs w:val="24"/>
          <w:highlight w:val="none"/>
        </w:rPr>
      </w:pPr>
      <w:r>
        <w:rPr>
          <w:rStyle w:val="32"/>
          <w:rFonts w:hint="eastAsia" w:cs="Times New Roman"/>
          <w:color w:val="auto"/>
          <w:sz w:val="24"/>
          <w:szCs w:val="24"/>
          <w:highlight w:val="none"/>
        </w:rPr>
        <w:t>（2）若采用银行汇票，供应商应在上述磋商保证金递交截止时间之前，将银行汇票或银行本票原件递交给代理机构，否则视为磋商保证金无效。（无需密封在响应文件内，单独递交）。</w:t>
      </w:r>
    </w:p>
    <w:p>
      <w:pPr>
        <w:tabs>
          <w:tab w:val="left" w:pos="900"/>
        </w:tabs>
        <w:snapToGrid w:val="0"/>
        <w:spacing w:line="360" w:lineRule="auto"/>
        <w:ind w:firstLine="480" w:firstLineChars="200"/>
        <w:rPr>
          <w:rStyle w:val="32"/>
          <w:rFonts w:hint="eastAsia" w:cs="Times New Roman"/>
          <w:color w:val="auto"/>
          <w:sz w:val="24"/>
          <w:szCs w:val="24"/>
          <w:highlight w:val="none"/>
        </w:rPr>
      </w:pPr>
      <w:r>
        <w:rPr>
          <w:rStyle w:val="32"/>
          <w:rFonts w:hint="eastAsia" w:cs="Times New Roman"/>
          <w:color w:val="auto"/>
          <w:sz w:val="24"/>
          <w:szCs w:val="24"/>
          <w:highlight w:val="none"/>
        </w:rPr>
        <w:t>采购人的开户银行及账号如下：</w:t>
      </w:r>
    </w:p>
    <w:p>
      <w:pPr>
        <w:tabs>
          <w:tab w:val="left" w:pos="900"/>
        </w:tabs>
        <w:snapToGrid w:val="0"/>
        <w:spacing w:line="360" w:lineRule="auto"/>
        <w:ind w:firstLine="480" w:firstLineChars="200"/>
        <w:rPr>
          <w:rStyle w:val="32"/>
          <w:rFonts w:hint="eastAsia" w:cs="Times New Roman"/>
          <w:color w:val="auto"/>
          <w:sz w:val="24"/>
          <w:szCs w:val="24"/>
          <w:highlight w:val="none"/>
        </w:rPr>
      </w:pPr>
      <w:r>
        <w:rPr>
          <w:rStyle w:val="32"/>
          <w:rFonts w:hint="eastAsia" w:cs="Times New Roman"/>
          <w:color w:val="auto"/>
          <w:sz w:val="24"/>
          <w:szCs w:val="24"/>
          <w:highlight w:val="none"/>
        </w:rPr>
        <w:t>开户名称：</w:t>
      </w:r>
      <w:r>
        <w:rPr>
          <w:rFonts w:ascii="宋体" w:hAnsi="宋体" w:eastAsia="宋体" w:cs="宋体"/>
          <w:sz w:val="24"/>
          <w:szCs w:val="24"/>
        </w:rPr>
        <w:t>如皋市交通产业集团有限公司</w:t>
      </w:r>
    </w:p>
    <w:p>
      <w:pPr>
        <w:tabs>
          <w:tab w:val="left" w:pos="900"/>
        </w:tabs>
        <w:snapToGrid w:val="0"/>
        <w:spacing w:line="360" w:lineRule="auto"/>
        <w:ind w:firstLine="480" w:firstLineChars="200"/>
        <w:rPr>
          <w:rStyle w:val="32"/>
          <w:rFonts w:hint="eastAsia" w:cs="Times New Roman"/>
          <w:color w:val="auto"/>
          <w:sz w:val="24"/>
          <w:szCs w:val="24"/>
          <w:highlight w:val="none"/>
        </w:rPr>
      </w:pPr>
      <w:r>
        <w:rPr>
          <w:rStyle w:val="32"/>
          <w:rFonts w:hint="eastAsia" w:cs="Times New Roman"/>
          <w:color w:val="auto"/>
          <w:sz w:val="24"/>
          <w:szCs w:val="24"/>
          <w:highlight w:val="none"/>
        </w:rPr>
        <w:t>开户银行：</w:t>
      </w:r>
      <w:r>
        <w:rPr>
          <w:rFonts w:ascii="宋体" w:hAnsi="宋体" w:eastAsia="宋体" w:cs="宋体"/>
          <w:sz w:val="24"/>
          <w:szCs w:val="24"/>
        </w:rPr>
        <w:t>建行如皋支行   </w:t>
      </w:r>
    </w:p>
    <w:p>
      <w:pPr>
        <w:tabs>
          <w:tab w:val="left" w:pos="900"/>
        </w:tabs>
        <w:snapToGrid w:val="0"/>
        <w:spacing w:line="360" w:lineRule="auto"/>
        <w:ind w:firstLine="480" w:firstLineChars="200"/>
        <w:rPr>
          <w:rStyle w:val="32"/>
          <w:rFonts w:hint="eastAsia" w:cs="Times New Roman"/>
          <w:color w:val="auto"/>
          <w:sz w:val="24"/>
          <w:szCs w:val="24"/>
          <w:highlight w:val="none"/>
        </w:rPr>
      </w:pPr>
      <w:r>
        <w:rPr>
          <w:rStyle w:val="32"/>
          <w:rFonts w:hint="eastAsia" w:cs="Times New Roman"/>
          <w:color w:val="auto"/>
          <w:sz w:val="24"/>
          <w:szCs w:val="24"/>
          <w:highlight w:val="none"/>
        </w:rPr>
        <w:t>开户账号：</w:t>
      </w:r>
      <w:r>
        <w:rPr>
          <w:rFonts w:ascii="宋体" w:hAnsi="宋体" w:eastAsia="宋体" w:cs="宋体"/>
          <w:sz w:val="24"/>
          <w:szCs w:val="24"/>
        </w:rPr>
        <w:t>32001647236052508915</w:t>
      </w:r>
      <w:r>
        <w:rPr>
          <w:rStyle w:val="32"/>
          <w:rFonts w:hint="eastAsia" w:cs="Times New Roman"/>
          <w:color w:val="auto"/>
          <w:sz w:val="24"/>
          <w:szCs w:val="24"/>
          <w:highlight w:val="none"/>
        </w:rPr>
        <w:t xml:space="preserve"> </w:t>
      </w:r>
    </w:p>
    <w:p>
      <w:pPr>
        <w:tabs>
          <w:tab w:val="left" w:pos="900"/>
        </w:tabs>
        <w:snapToGrid w:val="0"/>
        <w:spacing w:line="360" w:lineRule="auto"/>
        <w:ind w:firstLine="480" w:firstLineChars="200"/>
        <w:rPr>
          <w:lang w:val="zh-CN"/>
        </w:rPr>
      </w:pPr>
      <w:r>
        <w:rPr>
          <w:rStyle w:val="32"/>
          <w:rFonts w:hint="eastAsia" w:cs="Times New Roman"/>
          <w:color w:val="auto"/>
          <w:sz w:val="24"/>
          <w:szCs w:val="24"/>
          <w:highlight w:val="none"/>
        </w:rPr>
        <w:t>4、未按上述要求提交磋商保证金的供应商，采购人有权拒绝其响应文件。</w:t>
      </w:r>
    </w:p>
    <w:p>
      <w:pPr>
        <w:adjustRightInd w:val="0"/>
        <w:snapToGrid w:val="0"/>
        <w:spacing w:line="360" w:lineRule="auto"/>
        <w:ind w:firstLine="496" w:firstLineChars="206"/>
        <w:rPr>
          <w:rStyle w:val="209"/>
          <w:rFonts w:cs="Times New Roman"/>
          <w:b/>
          <w:color w:val="auto"/>
          <w:sz w:val="24"/>
          <w:highlight w:val="none"/>
        </w:rPr>
      </w:pPr>
      <w:r>
        <w:rPr>
          <w:rStyle w:val="209"/>
          <w:rFonts w:cs="Times New Roman"/>
          <w:b/>
          <w:color w:val="auto"/>
          <w:sz w:val="24"/>
          <w:highlight w:val="none"/>
        </w:rPr>
        <w:t>十四、履约保证金</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履约保证金的形式：采用银行保函或银行转账方式支付。</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 xml:space="preserve">履约保证金的金额：伍万元/标段。 </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履约保证金的缴纳：确定中标人之日起7日内，领取中标通知书前缴纳。</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履约保证金的退还：项目履约完毕达到规定标准后无息退还。</w:t>
      </w:r>
    </w:p>
    <w:p>
      <w:pPr>
        <w:adjustRightInd w:val="0"/>
        <w:snapToGrid w:val="0"/>
        <w:spacing w:line="360" w:lineRule="auto"/>
        <w:ind w:firstLine="496" w:firstLineChars="206"/>
        <w:rPr>
          <w:rStyle w:val="209"/>
          <w:rFonts w:cs="Times New Roman"/>
          <w:b/>
          <w:color w:val="auto"/>
          <w:sz w:val="24"/>
          <w:highlight w:val="none"/>
        </w:rPr>
      </w:pPr>
      <w:r>
        <w:rPr>
          <w:rStyle w:val="209"/>
          <w:rFonts w:cs="Times New Roman"/>
          <w:b/>
          <w:color w:val="auto"/>
          <w:sz w:val="24"/>
          <w:highlight w:val="none"/>
        </w:rPr>
        <w:t>十五、投标费用</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1、投标人承担参与投标可能发生的全部费用，招标人在任何情况下均无义务和责任承担这些费用。</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2、招标人不收取任何费用。</w:t>
      </w:r>
    </w:p>
    <w:p>
      <w:pPr>
        <w:adjustRightInd w:val="0"/>
        <w:snapToGrid w:val="0"/>
        <w:spacing w:line="360" w:lineRule="auto"/>
        <w:ind w:firstLine="482" w:firstLineChars="200"/>
        <w:rPr>
          <w:rStyle w:val="209"/>
          <w:rFonts w:cs="Times New Roman"/>
          <w:b/>
          <w:color w:val="auto"/>
          <w:sz w:val="24"/>
          <w:highlight w:val="none"/>
        </w:rPr>
      </w:pPr>
      <w:r>
        <w:rPr>
          <w:rStyle w:val="209"/>
          <w:rFonts w:cs="Times New Roman"/>
          <w:b/>
          <w:color w:val="auto"/>
          <w:sz w:val="24"/>
          <w:highlight w:val="none"/>
        </w:rPr>
        <w:t>十六、未尽事宜</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按相关的法律法规执行。</w:t>
      </w:r>
    </w:p>
    <w:p>
      <w:pPr>
        <w:snapToGrid w:val="0"/>
        <w:spacing w:line="360" w:lineRule="auto"/>
        <w:jc w:val="center"/>
        <w:rPr>
          <w:rFonts w:eastAsia="黑体" w:cs="Times New Roman"/>
          <w:color w:val="auto"/>
          <w:sz w:val="44"/>
          <w:highlight w:val="none"/>
        </w:rPr>
      </w:pPr>
      <w:r>
        <w:rPr>
          <w:rStyle w:val="32"/>
          <w:rFonts w:eastAsia="黑体" w:cs="Times New Roman"/>
          <w:bCs/>
          <w:color w:val="auto"/>
          <w:sz w:val="44"/>
          <w:highlight w:val="none"/>
        </w:rPr>
        <w:br w:type="page"/>
      </w:r>
      <w:r>
        <w:rPr>
          <w:rStyle w:val="32"/>
          <w:rFonts w:eastAsia="黑体" w:cs="Times New Roman"/>
          <w:bCs/>
          <w:color w:val="auto"/>
          <w:sz w:val="44"/>
          <w:highlight w:val="none"/>
        </w:rPr>
        <w:t>第三章 项目需求</w:t>
      </w:r>
    </w:p>
    <w:p>
      <w:pPr>
        <w:adjustRightInd w:val="0"/>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请投标人在报名前和制作投标文件时仔细阅读、研究项目需求说明。</w:t>
      </w:r>
    </w:p>
    <w:p>
      <w:pPr>
        <w:adjustRightInd w:val="0"/>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一、招标范围</w:t>
      </w:r>
    </w:p>
    <w:p>
      <w:pPr>
        <w:adjustRightInd w:val="0"/>
        <w:snapToGrid w:val="0"/>
        <w:spacing w:line="360" w:lineRule="auto"/>
        <w:ind w:left="199" w:leftChars="95" w:firstLine="480" w:firstLineChars="200"/>
        <w:rPr>
          <w:rStyle w:val="32"/>
          <w:rFonts w:cs="Times New Roman" w:eastAsiaTheme="minorEastAsia"/>
          <w:color w:val="auto"/>
          <w:sz w:val="20"/>
          <w:szCs w:val="24"/>
          <w:highlight w:val="none"/>
        </w:rPr>
      </w:pPr>
      <w:r>
        <w:rPr>
          <w:rStyle w:val="32"/>
          <w:rFonts w:cs="Times New Roman"/>
          <w:color w:val="auto"/>
          <w:kern w:val="0"/>
          <w:sz w:val="24"/>
          <w:szCs w:val="24"/>
          <w:highlight w:val="none"/>
        </w:rPr>
        <w:t>2021-2022年度</w:t>
      </w:r>
      <w:r>
        <w:rPr>
          <w:rStyle w:val="32"/>
          <w:rFonts w:hint="eastAsia" w:cs="Times New Roman"/>
          <w:color w:val="auto"/>
          <w:kern w:val="0"/>
          <w:sz w:val="24"/>
          <w:szCs w:val="24"/>
          <w:highlight w:val="none"/>
          <w:lang w:eastAsia="zh-CN"/>
        </w:rPr>
        <w:t>如皋市交通产业集团有限公司</w:t>
      </w:r>
      <w:r>
        <w:rPr>
          <w:rStyle w:val="32"/>
          <w:rFonts w:cs="Times New Roman"/>
          <w:color w:val="auto"/>
          <w:kern w:val="0"/>
          <w:sz w:val="24"/>
          <w:szCs w:val="24"/>
          <w:highlight w:val="none"/>
        </w:rPr>
        <w:t>以及集团下属工程承包企业所承包项目的施工、材料设备供应（不含甲供材）、施工质保期间的质保。具体以最终签订的施工合同为准。</w:t>
      </w:r>
    </w:p>
    <w:p>
      <w:pPr>
        <w:adjustRightInd w:val="0"/>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二、投标报价</w:t>
      </w:r>
    </w:p>
    <w:p>
      <w:pPr>
        <w:adjustRightInd w:val="0"/>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2.1本次预选入库的投标报价按照施工图预算优惠下浮率进行报价。本报价仅作为入库时的基本条件，并非最终甲方与乙方签订合同的合同价。</w:t>
      </w:r>
    </w:p>
    <w:p>
      <w:pPr>
        <w:adjustRightInd w:val="0"/>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2.2 投标限价</w:t>
      </w:r>
    </w:p>
    <w:p>
      <w:pPr>
        <w:pStyle w:val="2"/>
        <w:snapToGrid w:val="0"/>
        <w:spacing w:line="360" w:lineRule="auto"/>
        <w:ind w:left="0" w:firstLine="480" w:firstLineChars="200"/>
        <w:rPr>
          <w:rStyle w:val="32"/>
          <w:rFonts w:ascii="Times New Roman" w:eastAsia="宋体" w:cs="Times New Roman"/>
          <w:color w:val="auto"/>
          <w:sz w:val="24"/>
          <w:szCs w:val="24"/>
          <w:highlight w:val="none"/>
        </w:rPr>
      </w:pPr>
      <w:r>
        <w:rPr>
          <w:rStyle w:val="32"/>
          <w:rFonts w:ascii="Times New Roman" w:eastAsia="宋体" w:cs="Times New Roman"/>
          <w:color w:val="auto"/>
          <w:sz w:val="24"/>
          <w:szCs w:val="24"/>
          <w:highlight w:val="none"/>
        </w:rPr>
        <w:t>各标段的投标限价如下：</w:t>
      </w:r>
    </w:p>
    <w:p>
      <w:pPr>
        <w:tabs>
          <w:tab w:val="left" w:pos="900"/>
        </w:tabs>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YXGC-1（建筑工程标段）：</w:t>
      </w:r>
      <w:r>
        <w:rPr>
          <w:rStyle w:val="32"/>
          <w:rFonts w:cs="Times New Roman"/>
          <w:b/>
          <w:bCs/>
          <w:color w:val="auto"/>
          <w:kern w:val="0"/>
          <w:sz w:val="24"/>
          <w:szCs w:val="24"/>
          <w:highlight w:val="none"/>
          <w:u w:val="single" w:color="000000"/>
        </w:rPr>
        <w:t>施工图预算下浮率不少于12%</w:t>
      </w:r>
      <w:r>
        <w:rPr>
          <w:rStyle w:val="32"/>
          <w:rFonts w:cs="Times New Roman"/>
          <w:color w:val="auto"/>
          <w:kern w:val="0"/>
          <w:sz w:val="24"/>
          <w:szCs w:val="24"/>
          <w:highlight w:val="none"/>
        </w:rPr>
        <w:t>；</w:t>
      </w:r>
    </w:p>
    <w:p>
      <w:pPr>
        <w:tabs>
          <w:tab w:val="left" w:pos="900"/>
        </w:tabs>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YXGC-2（市政公用工程标段）：</w:t>
      </w:r>
      <w:r>
        <w:rPr>
          <w:rStyle w:val="32"/>
          <w:rFonts w:cs="Times New Roman"/>
          <w:b/>
          <w:bCs/>
          <w:color w:val="auto"/>
          <w:kern w:val="0"/>
          <w:sz w:val="24"/>
          <w:szCs w:val="24"/>
          <w:highlight w:val="none"/>
          <w:u w:val="single" w:color="000000"/>
        </w:rPr>
        <w:t>施工图预算下浮率不少于15%</w:t>
      </w:r>
      <w:r>
        <w:rPr>
          <w:rStyle w:val="32"/>
          <w:rFonts w:cs="Times New Roman"/>
          <w:b/>
          <w:bCs/>
          <w:color w:val="auto"/>
          <w:kern w:val="0"/>
          <w:sz w:val="24"/>
          <w:szCs w:val="24"/>
          <w:highlight w:val="none"/>
        </w:rPr>
        <w:t>；</w:t>
      </w:r>
    </w:p>
    <w:p>
      <w:pPr>
        <w:tabs>
          <w:tab w:val="left" w:pos="900"/>
        </w:tabs>
        <w:snapToGrid w:val="0"/>
        <w:spacing w:line="360" w:lineRule="auto"/>
        <w:ind w:firstLine="480" w:firstLineChars="200"/>
        <w:rPr>
          <w:rStyle w:val="32"/>
          <w:rFonts w:cs="Times New Roman"/>
          <w:b/>
          <w:bCs/>
          <w:color w:val="auto"/>
          <w:kern w:val="0"/>
          <w:sz w:val="24"/>
          <w:szCs w:val="24"/>
          <w:highlight w:val="none"/>
          <w:u w:val="single" w:color="000000"/>
        </w:rPr>
      </w:pPr>
      <w:r>
        <w:rPr>
          <w:rStyle w:val="32"/>
          <w:rFonts w:cs="Times New Roman"/>
          <w:bCs/>
          <w:color w:val="auto"/>
          <w:kern w:val="0"/>
          <w:sz w:val="24"/>
          <w:szCs w:val="24"/>
          <w:highlight w:val="none"/>
        </w:rPr>
        <w:t>YXGC-3（公路工程标段）：</w:t>
      </w:r>
      <w:r>
        <w:rPr>
          <w:rStyle w:val="32"/>
          <w:rFonts w:cs="Times New Roman"/>
          <w:b/>
          <w:bCs/>
          <w:color w:val="auto"/>
          <w:kern w:val="0"/>
          <w:sz w:val="24"/>
          <w:szCs w:val="24"/>
          <w:highlight w:val="none"/>
          <w:u w:val="single" w:color="000000"/>
        </w:rPr>
        <w:t>桥梁施工图预算下浮率不少于3%、路基施工图预算下浮率不少于15%、路面施工图预算下浮率不少于6%；</w:t>
      </w:r>
    </w:p>
    <w:p>
      <w:pPr>
        <w:tabs>
          <w:tab w:val="left" w:pos="900"/>
        </w:tabs>
        <w:snapToGrid w:val="0"/>
        <w:spacing w:line="360" w:lineRule="auto"/>
        <w:ind w:firstLine="480" w:firstLineChars="200"/>
        <w:rPr>
          <w:rStyle w:val="32"/>
          <w:rFonts w:cs="Times New Roman"/>
          <w:b/>
          <w:bCs/>
          <w:color w:val="auto"/>
          <w:kern w:val="0"/>
          <w:sz w:val="24"/>
          <w:szCs w:val="24"/>
          <w:highlight w:val="none"/>
          <w:u w:val="single" w:color="000000"/>
        </w:rPr>
      </w:pPr>
      <w:r>
        <w:rPr>
          <w:rStyle w:val="32"/>
          <w:rFonts w:cs="Times New Roman"/>
          <w:color w:val="auto"/>
          <w:kern w:val="0"/>
          <w:sz w:val="24"/>
          <w:szCs w:val="24"/>
          <w:highlight w:val="none"/>
        </w:rPr>
        <w:t>YXGC-4（建筑装修装饰工程标段）：</w:t>
      </w:r>
      <w:r>
        <w:rPr>
          <w:rStyle w:val="32"/>
          <w:rFonts w:cs="Times New Roman"/>
          <w:b/>
          <w:bCs/>
          <w:color w:val="auto"/>
          <w:kern w:val="0"/>
          <w:sz w:val="24"/>
          <w:szCs w:val="24"/>
          <w:highlight w:val="none"/>
          <w:u w:val="single" w:color="000000"/>
        </w:rPr>
        <w:t>施工图预算下浮率不少于18%</w:t>
      </w:r>
      <w:r>
        <w:rPr>
          <w:rStyle w:val="32"/>
          <w:rFonts w:cs="Times New Roman"/>
          <w:b/>
          <w:bCs/>
          <w:color w:val="auto"/>
          <w:kern w:val="0"/>
          <w:sz w:val="24"/>
          <w:szCs w:val="24"/>
          <w:highlight w:val="none"/>
        </w:rPr>
        <w:t>；</w:t>
      </w:r>
    </w:p>
    <w:p>
      <w:pPr>
        <w:tabs>
          <w:tab w:val="left" w:pos="900"/>
        </w:tabs>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YXGC-5（景观绿化工程标段）：</w:t>
      </w:r>
      <w:r>
        <w:rPr>
          <w:rStyle w:val="32"/>
          <w:rFonts w:cs="Times New Roman"/>
          <w:b/>
          <w:bCs/>
          <w:color w:val="auto"/>
          <w:kern w:val="0"/>
          <w:sz w:val="24"/>
          <w:szCs w:val="24"/>
          <w:highlight w:val="none"/>
          <w:u w:val="single" w:color="000000"/>
        </w:rPr>
        <w:t>施工图预算下浮率不少于30%</w:t>
      </w:r>
      <w:r>
        <w:rPr>
          <w:rStyle w:val="32"/>
          <w:rFonts w:cs="Times New Roman"/>
          <w:b/>
          <w:bCs/>
          <w:color w:val="auto"/>
          <w:kern w:val="0"/>
          <w:sz w:val="24"/>
          <w:szCs w:val="24"/>
          <w:highlight w:val="none"/>
        </w:rPr>
        <w:t>；</w:t>
      </w:r>
    </w:p>
    <w:p>
      <w:pPr>
        <w:tabs>
          <w:tab w:val="left" w:pos="900"/>
        </w:tabs>
        <w:spacing w:line="360" w:lineRule="auto"/>
        <w:ind w:firstLine="480" w:firstLineChars="200"/>
        <w:rPr>
          <w:rStyle w:val="32"/>
          <w:rFonts w:cs="Times New Roman"/>
          <w:color w:val="auto"/>
          <w:kern w:val="0"/>
          <w:sz w:val="24"/>
          <w:szCs w:val="24"/>
          <w:highlight w:val="none"/>
        </w:rPr>
      </w:pPr>
      <w:r>
        <w:rPr>
          <w:rStyle w:val="32"/>
          <w:rFonts w:cs="Times New Roman"/>
          <w:bCs/>
          <w:color w:val="auto"/>
          <w:kern w:val="0"/>
          <w:sz w:val="24"/>
          <w:szCs w:val="24"/>
          <w:highlight w:val="none"/>
        </w:rPr>
        <w:t>YXGC-6（交通安全设施标段）：</w:t>
      </w:r>
      <w:r>
        <w:rPr>
          <w:rStyle w:val="32"/>
          <w:rFonts w:cs="Times New Roman"/>
          <w:b/>
          <w:bCs/>
          <w:color w:val="auto"/>
          <w:kern w:val="0"/>
          <w:sz w:val="24"/>
          <w:szCs w:val="24"/>
          <w:highlight w:val="none"/>
          <w:u w:val="single" w:color="000000"/>
        </w:rPr>
        <w:t>施工图预算下浮率不少于10%；</w:t>
      </w:r>
    </w:p>
    <w:p>
      <w:pPr>
        <w:adjustRightInd w:val="0"/>
        <w:snapToGrid w:val="0"/>
        <w:spacing w:line="360" w:lineRule="auto"/>
        <w:ind w:firstLine="480" w:firstLineChars="200"/>
        <w:rPr>
          <w:rStyle w:val="32"/>
          <w:rFonts w:cs="Times New Roman"/>
          <w:b/>
          <w:color w:val="auto"/>
          <w:sz w:val="24"/>
          <w:highlight w:val="none"/>
        </w:rPr>
      </w:pPr>
      <w:r>
        <w:rPr>
          <w:rStyle w:val="32"/>
          <w:rFonts w:cs="Times New Roman"/>
          <w:color w:val="auto"/>
          <w:kern w:val="0"/>
          <w:sz w:val="24"/>
          <w:szCs w:val="24"/>
          <w:highlight w:val="none"/>
        </w:rPr>
        <w:t>2.</w:t>
      </w:r>
      <w:r>
        <w:rPr>
          <w:rStyle w:val="32"/>
          <w:rFonts w:hint="eastAsia" w:cs="Times New Roman"/>
          <w:color w:val="auto"/>
          <w:kern w:val="0"/>
          <w:sz w:val="24"/>
          <w:szCs w:val="24"/>
          <w:highlight w:val="none"/>
        </w:rPr>
        <w:t>3</w:t>
      </w:r>
      <w:r>
        <w:rPr>
          <w:rStyle w:val="32"/>
          <w:rFonts w:cs="Times New Roman"/>
          <w:b/>
          <w:color w:val="auto"/>
          <w:sz w:val="24"/>
          <w:highlight w:val="none"/>
        </w:rPr>
        <w:t>报价时需充分考虑工程实施范围内外的单位、个人和其它可能出现的影响、阻挠施工、以及在合同履行过程中可能发生风险的全部因素。中标后，投标人需在此基础上根据具体施工项目的招标文件的要求进行二次报价，二次报价不得高于本次报价。</w:t>
      </w:r>
    </w:p>
    <w:p>
      <w:pPr>
        <w:adjustRightInd w:val="0"/>
        <w:snapToGrid w:val="0"/>
        <w:spacing w:line="360" w:lineRule="auto"/>
        <w:ind w:firstLine="480" w:firstLineChars="200"/>
        <w:rPr>
          <w:rFonts w:cs="Times New Roman"/>
          <w:color w:val="auto"/>
          <w:highlight w:val="none"/>
        </w:rPr>
      </w:pPr>
      <w:r>
        <w:rPr>
          <w:rStyle w:val="32"/>
          <w:rFonts w:cs="Times New Roman"/>
          <w:color w:val="auto"/>
          <w:kern w:val="0"/>
          <w:sz w:val="24"/>
          <w:szCs w:val="24"/>
          <w:highlight w:val="none"/>
        </w:rPr>
        <w:t>2.</w:t>
      </w:r>
      <w:r>
        <w:rPr>
          <w:rStyle w:val="32"/>
          <w:rFonts w:hint="eastAsia" w:cs="Times New Roman"/>
          <w:color w:val="auto"/>
          <w:kern w:val="0"/>
          <w:sz w:val="24"/>
          <w:szCs w:val="24"/>
          <w:highlight w:val="none"/>
        </w:rPr>
        <w:t>4</w:t>
      </w:r>
      <w:r>
        <w:rPr>
          <w:rStyle w:val="32"/>
          <w:rFonts w:cs="Times New Roman"/>
          <w:color w:val="auto"/>
          <w:kern w:val="0"/>
          <w:sz w:val="24"/>
          <w:szCs w:val="24"/>
          <w:highlight w:val="none"/>
        </w:rPr>
        <w:t xml:space="preserve"> 计价依据</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1.计价依据（YXGC-1、2、4、5、6-市政领域）</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（1）招标人提供的工程施工图、工程量清单；</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 xml:space="preserve">（2）《建设工程工程量清单计价规范》（GB50500-2013）、《房屋建筑与装饰工程工程量计算规范》（GB50854-2013）、《通用安装工程工程量计算规范》（GB50856-2013）； </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（3）《江苏省建筑与装饰工程计价定额》2014年版；</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（4）《江苏省安装工程计价定额》2014年版；</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（5）《江苏省市政工程计价定额》2014年版；</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（6）《江苏省建设工程费用定额》2014年版、《省住房城乡建设厅关于建筑业实施营改增后江苏省建设工程计价依据调整的通知》（苏建价〔2016〕154号，采用一般计税法）；</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（7）</w:t>
      </w:r>
      <w:r>
        <w:rPr>
          <w:rStyle w:val="32"/>
          <w:rFonts w:cs="Times New Roman"/>
          <w:b/>
          <w:color w:val="auto"/>
          <w:sz w:val="24"/>
          <w:szCs w:val="24"/>
          <w:highlight w:val="none"/>
          <w:u w:val="single" w:color="000000"/>
        </w:rPr>
        <w:t>人工工资执行江苏省住房和城乡建设厅发布的施工同期（以开工报告时点为准）人工工资指导价（</w:t>
      </w:r>
      <w:r>
        <w:rPr>
          <w:rStyle w:val="32"/>
          <w:rFonts w:cs="Times New Roman"/>
          <w:b/>
          <w:color w:val="auto"/>
          <w:sz w:val="24"/>
          <w:szCs w:val="24"/>
          <w:highlight w:val="none"/>
          <w:u w:val="single"/>
        </w:rPr>
        <w:t>装饰工程人工按最低价）</w:t>
      </w:r>
      <w:r>
        <w:rPr>
          <w:rFonts w:cs="Times New Roman"/>
          <w:color w:val="auto"/>
          <w:highlight w:val="none"/>
        </w:rPr>
        <w:t>；</w:t>
      </w:r>
      <w:r>
        <w:rPr>
          <w:rStyle w:val="32"/>
          <w:rFonts w:cs="Times New Roman"/>
          <w:b/>
          <w:color w:val="auto"/>
          <w:sz w:val="24"/>
          <w:szCs w:val="24"/>
          <w:highlight w:val="none"/>
          <w:u w:val="single" w:color="000000"/>
        </w:rPr>
        <w:t>机械台班单价按省造价管理部门规定；材料按如皋市（以开工报告时点为基准期）造价管理部门发布的施工同期材料信息价取定，如皋市信息价没有的材料按南通市信息价计入。如皋市、南通市均无信息价的材料根据市场行情进行认质认价，或其他合法程序确定。</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（8）江苏省、南通市、如皋市现行的计价文件及补充计价定额规定。</w:t>
      </w:r>
    </w:p>
    <w:p>
      <w:pPr>
        <w:adjustRightInd w:val="0"/>
        <w:snapToGrid w:val="0"/>
        <w:spacing w:line="360" w:lineRule="auto"/>
        <w:ind w:firstLine="482" w:firstLineChars="200"/>
        <w:rPr>
          <w:rStyle w:val="32"/>
          <w:rFonts w:cs="Times New Roman"/>
          <w:b/>
          <w:bCs/>
          <w:color w:val="auto"/>
          <w:kern w:val="0"/>
          <w:sz w:val="24"/>
          <w:szCs w:val="24"/>
          <w:highlight w:val="none"/>
          <w:u w:val="single"/>
        </w:rPr>
      </w:pPr>
      <w:r>
        <w:rPr>
          <w:rStyle w:val="32"/>
          <w:rFonts w:cs="Times New Roman"/>
          <w:b/>
          <w:color w:val="auto"/>
          <w:sz w:val="24"/>
          <w:szCs w:val="24"/>
          <w:highlight w:val="none"/>
          <w:u w:val="single" w:color="000000"/>
        </w:rPr>
        <w:t xml:space="preserve">（9） </w:t>
      </w:r>
      <w:r>
        <w:rPr>
          <w:rStyle w:val="32"/>
          <w:rFonts w:cs="Times New Roman"/>
          <w:b/>
          <w:bCs/>
          <w:color w:val="auto"/>
          <w:kern w:val="0"/>
          <w:sz w:val="24"/>
          <w:szCs w:val="24"/>
          <w:highlight w:val="none"/>
          <w:u w:val="single" w:color="000000"/>
        </w:rPr>
        <w:t xml:space="preserve">不可竞争费用不得下浮，按以下费率计取： </w:t>
      </w:r>
    </w:p>
    <w:tbl>
      <w:tblPr>
        <w:tblStyle w:val="13"/>
        <w:tblW w:w="920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200"/>
        <w:gridCol w:w="1455"/>
        <w:gridCol w:w="930"/>
        <w:gridCol w:w="855"/>
        <w:gridCol w:w="885"/>
        <w:gridCol w:w="915"/>
        <w:gridCol w:w="1110"/>
        <w:gridCol w:w="1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4" w:hRule="exact"/>
          <w:tblHeader/>
        </w:trPr>
        <w:tc>
          <w:tcPr>
            <w:tcW w:w="79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费用类别</w:t>
            </w:r>
          </w:p>
        </w:tc>
        <w:tc>
          <w:tcPr>
            <w:tcW w:w="12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费用名称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计费基数</w:t>
            </w:r>
          </w:p>
        </w:tc>
        <w:tc>
          <w:tcPr>
            <w:tcW w:w="93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土建（%）</w:t>
            </w: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修缮（%）</w:t>
            </w:r>
          </w:p>
        </w:tc>
        <w:tc>
          <w:tcPr>
            <w:tcW w:w="8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装饰（%）</w:t>
            </w:r>
          </w:p>
        </w:tc>
        <w:tc>
          <w:tcPr>
            <w:tcW w:w="91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大型土石方工程（%）</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市政通用（%）</w:t>
            </w:r>
          </w:p>
        </w:tc>
        <w:tc>
          <w:tcPr>
            <w:tcW w:w="1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安装</w:t>
            </w:r>
          </w:p>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94"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规  费</w:t>
            </w:r>
          </w:p>
        </w:tc>
        <w:tc>
          <w:tcPr>
            <w:tcW w:w="12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社会保险费</w:t>
            </w:r>
          </w:p>
        </w:tc>
        <w:tc>
          <w:tcPr>
            <w:tcW w:w="1455"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分部分项工程费+措施项目费+其他项目费-工程设备费</w:t>
            </w:r>
          </w:p>
        </w:tc>
        <w:tc>
          <w:tcPr>
            <w:tcW w:w="93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3.2</w:t>
            </w: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3.8</w:t>
            </w:r>
          </w:p>
        </w:tc>
        <w:tc>
          <w:tcPr>
            <w:tcW w:w="8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2.4</w:t>
            </w:r>
          </w:p>
        </w:tc>
        <w:tc>
          <w:tcPr>
            <w:tcW w:w="91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1.3</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2</w:t>
            </w:r>
          </w:p>
        </w:tc>
        <w:tc>
          <w:tcPr>
            <w:tcW w:w="1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color w:val="auto"/>
                <w:sz w:val="24"/>
                <w:szCs w:val="24"/>
                <w:highlight w:val="none"/>
              </w:rPr>
              <w:t>住房公积金</w:t>
            </w: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p>
        </w:tc>
        <w:tc>
          <w:tcPr>
            <w:tcW w:w="93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0.53</w:t>
            </w: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0.67</w:t>
            </w:r>
          </w:p>
        </w:tc>
        <w:tc>
          <w:tcPr>
            <w:tcW w:w="8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0.42</w:t>
            </w:r>
          </w:p>
        </w:tc>
        <w:tc>
          <w:tcPr>
            <w:tcW w:w="91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0.24</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0.34</w:t>
            </w:r>
          </w:p>
        </w:tc>
        <w:tc>
          <w:tcPr>
            <w:tcW w:w="1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94"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现场安全文明施工措施费</w:t>
            </w:r>
          </w:p>
        </w:tc>
        <w:tc>
          <w:tcPr>
            <w:tcW w:w="12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基本费</w:t>
            </w:r>
          </w:p>
        </w:tc>
        <w:tc>
          <w:tcPr>
            <w:tcW w:w="1455"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分部分项工程费+单价措施项目费-工程设备费</w:t>
            </w:r>
          </w:p>
        </w:tc>
        <w:tc>
          <w:tcPr>
            <w:tcW w:w="93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3.1</w:t>
            </w: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1.5</w:t>
            </w:r>
          </w:p>
        </w:tc>
        <w:tc>
          <w:tcPr>
            <w:tcW w:w="8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1.7</w:t>
            </w:r>
          </w:p>
        </w:tc>
        <w:tc>
          <w:tcPr>
            <w:tcW w:w="91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1.5</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1.5</w:t>
            </w:r>
          </w:p>
        </w:tc>
        <w:tc>
          <w:tcPr>
            <w:tcW w:w="1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color w:val="auto"/>
                <w:sz w:val="24"/>
                <w:szCs w:val="24"/>
                <w:highlight w:val="none"/>
              </w:rPr>
              <w:t>标化增加费</w:t>
            </w: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p>
        </w:tc>
        <w:tc>
          <w:tcPr>
            <w:tcW w:w="93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w:t>
            </w: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w:t>
            </w:r>
          </w:p>
        </w:tc>
        <w:tc>
          <w:tcPr>
            <w:tcW w:w="91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扬尘污染防治增加费</w:t>
            </w: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p>
        </w:tc>
        <w:tc>
          <w:tcPr>
            <w:tcW w:w="93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0.31</w:t>
            </w: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0.21</w:t>
            </w:r>
          </w:p>
        </w:tc>
        <w:tc>
          <w:tcPr>
            <w:tcW w:w="8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0.22</w:t>
            </w:r>
          </w:p>
        </w:tc>
        <w:tc>
          <w:tcPr>
            <w:tcW w:w="91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0.42</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0.31</w:t>
            </w:r>
          </w:p>
        </w:tc>
        <w:tc>
          <w:tcPr>
            <w:tcW w:w="1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99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税   金</w:t>
            </w:r>
          </w:p>
        </w:tc>
        <w:tc>
          <w:tcPr>
            <w:tcW w:w="145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税前造价</w:t>
            </w:r>
          </w:p>
        </w:tc>
        <w:tc>
          <w:tcPr>
            <w:tcW w:w="5760" w:type="dxa"/>
            <w:gridSpan w:val="6"/>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9%（一般计税法）</w:t>
            </w:r>
          </w:p>
        </w:tc>
      </w:tr>
    </w:tbl>
    <w:p>
      <w:pPr>
        <w:snapToGrid w:val="0"/>
        <w:spacing w:line="360" w:lineRule="auto"/>
        <w:ind w:firstLine="240" w:firstLineChars="100"/>
        <w:jc w:val="left"/>
        <w:rPr>
          <w:rStyle w:val="32"/>
          <w:rFonts w:cs="Times New Roman"/>
          <w:color w:val="auto"/>
          <w:sz w:val="24"/>
          <w:szCs w:val="24"/>
          <w:highlight w:val="none"/>
        </w:rPr>
      </w:pPr>
      <w:r>
        <w:rPr>
          <w:rStyle w:val="32"/>
          <w:rFonts w:cs="Times New Roman"/>
          <w:color w:val="auto"/>
          <w:sz w:val="24"/>
          <w:szCs w:val="24"/>
          <w:highlight w:val="none"/>
        </w:rPr>
        <w:t>注：安全文明施工措施费率为暂定、最终以如皋市建设工程造价管理部门核定为准，否则不予结算。 </w:t>
      </w:r>
    </w:p>
    <w:p>
      <w:pPr>
        <w:numPr>
          <w:ilvl w:val="0"/>
          <w:numId w:val="5"/>
        </w:numPr>
        <w:adjustRightInd w:val="0"/>
        <w:snapToGrid w:val="0"/>
        <w:spacing w:line="360" w:lineRule="auto"/>
        <w:ind w:firstLine="482" w:firstLineChars="200"/>
        <w:rPr>
          <w:rStyle w:val="32"/>
          <w:rFonts w:cs="Times New Roman"/>
          <w:b/>
          <w:color w:val="auto"/>
          <w:sz w:val="24"/>
          <w:szCs w:val="24"/>
          <w:highlight w:val="none"/>
        </w:rPr>
      </w:pPr>
      <w:r>
        <w:rPr>
          <w:rStyle w:val="32"/>
          <w:rFonts w:cs="Times New Roman"/>
          <w:b/>
          <w:color w:val="auto"/>
          <w:sz w:val="24"/>
          <w:szCs w:val="24"/>
          <w:highlight w:val="none"/>
        </w:rPr>
        <w:t>临时设施费率：</w:t>
      </w:r>
      <w:r>
        <w:rPr>
          <w:rStyle w:val="32"/>
          <w:rFonts w:hint="eastAsia" w:cs="Times New Roman"/>
          <w:b/>
          <w:color w:val="auto"/>
          <w:sz w:val="24"/>
          <w:szCs w:val="24"/>
          <w:highlight w:val="none"/>
        </w:rPr>
        <w:t>按最低</w:t>
      </w:r>
      <w:r>
        <w:rPr>
          <w:rStyle w:val="32"/>
          <w:rFonts w:cs="Times New Roman"/>
          <w:b/>
          <w:color w:val="auto"/>
          <w:sz w:val="24"/>
          <w:szCs w:val="24"/>
          <w:highlight w:val="none"/>
        </w:rPr>
        <w:t>值计取，计算基础A=分部分项工程费+单价措施项目费-除税工程设备费。</w:t>
      </w:r>
    </w:p>
    <w:p>
      <w:pPr>
        <w:pStyle w:val="2"/>
        <w:spacing w:line="360" w:lineRule="auto"/>
        <w:ind w:left="0" w:firstLine="482" w:firstLineChars="200"/>
        <w:rPr>
          <w:rFonts w:ascii="Times New Roman" w:eastAsia="宋体" w:cs="Times New Roman"/>
          <w:color w:val="auto"/>
          <w:sz w:val="24"/>
          <w:szCs w:val="24"/>
          <w:highlight w:val="none"/>
        </w:rPr>
      </w:pPr>
      <w:r>
        <w:rPr>
          <w:rStyle w:val="32"/>
          <w:rFonts w:ascii="Times New Roman" w:eastAsia="宋体" w:cs="Times New Roman"/>
          <w:b/>
          <w:color w:val="auto"/>
          <w:sz w:val="24"/>
          <w:szCs w:val="24"/>
          <w:highlight w:val="none"/>
        </w:rPr>
        <w:t>（11）智慧工地费用：按最低值计取；建筑工人实名制费：按规定计取；非夜间施工照明（地下室）：按规定计取</w:t>
      </w:r>
    </w:p>
    <w:p>
      <w:pPr>
        <w:pStyle w:val="2"/>
        <w:spacing w:line="360" w:lineRule="auto"/>
        <w:ind w:left="0" w:firstLine="482" w:firstLineChars="200"/>
        <w:rPr>
          <w:rFonts w:ascii="Times New Roman" w:eastAsia="宋体" w:cs="Times New Roman"/>
          <w:b/>
          <w:bCs/>
          <w:color w:val="auto"/>
          <w:sz w:val="24"/>
          <w:szCs w:val="24"/>
          <w:highlight w:val="none"/>
        </w:rPr>
      </w:pPr>
      <w:r>
        <w:rPr>
          <w:rFonts w:ascii="Times New Roman" w:eastAsia="宋体" w:cs="Times New Roman"/>
          <w:b/>
          <w:bCs/>
          <w:color w:val="auto"/>
          <w:sz w:val="24"/>
          <w:szCs w:val="24"/>
          <w:highlight w:val="none"/>
        </w:rPr>
        <w:t>（12）按质论价、夜间施工、冬雨季施工、已完工程及设备保护、赶工措施、二次搬运均不计取。</w:t>
      </w:r>
    </w:p>
    <w:p>
      <w:pPr>
        <w:spacing w:line="360" w:lineRule="auto"/>
        <w:ind w:firstLine="480" w:firstLineChars="200"/>
        <w:jc w:val="left"/>
        <w:rPr>
          <w:rFonts w:cs="Times New Roman"/>
          <w:b/>
          <w:bCs/>
          <w:color w:val="auto"/>
          <w:sz w:val="24"/>
          <w:szCs w:val="24"/>
          <w:highlight w:val="none"/>
        </w:rPr>
      </w:pPr>
      <w:r>
        <w:rPr>
          <w:rFonts w:cs="Times New Roman"/>
          <w:color w:val="auto"/>
          <w:kern w:val="0"/>
          <w:sz w:val="24"/>
          <w:szCs w:val="24"/>
          <w:highlight w:val="none"/>
          <w:lang w:bidi="ar"/>
        </w:rPr>
        <w:t>（13）根据做什么专业取什么费的计价原则，当本专业定额无适用定额，需借用其他专业定额时，只借用人、材、机消耗量，其人、材、机单价及管理费、利润、总价措施项目费、规费等均按本专业规定费率计取。</w:t>
      </w:r>
    </w:p>
    <w:p>
      <w:pPr>
        <w:adjustRightInd w:val="0"/>
        <w:snapToGrid w:val="0"/>
        <w:spacing w:line="360" w:lineRule="auto"/>
        <w:ind w:firstLine="482" w:firstLineChars="200"/>
        <w:rPr>
          <w:rStyle w:val="32"/>
          <w:rFonts w:cs="Times New Roman"/>
          <w:b/>
          <w:color w:val="auto"/>
          <w:sz w:val="24"/>
          <w:szCs w:val="24"/>
          <w:highlight w:val="none"/>
          <w:u w:val="single" w:color="000000"/>
        </w:rPr>
      </w:pPr>
      <w:r>
        <w:rPr>
          <w:rStyle w:val="32"/>
          <w:rFonts w:cs="Times New Roman"/>
          <w:b/>
          <w:color w:val="auto"/>
          <w:sz w:val="24"/>
          <w:szCs w:val="24"/>
          <w:highlight w:val="none"/>
        </w:rPr>
        <w:t>（14）</w:t>
      </w:r>
      <w:r>
        <w:rPr>
          <w:rStyle w:val="32"/>
          <w:rFonts w:cs="Times New Roman"/>
          <w:b/>
          <w:color w:val="auto"/>
          <w:sz w:val="24"/>
          <w:szCs w:val="24"/>
          <w:highlight w:val="none"/>
          <w:u w:val="single" w:color="000000"/>
        </w:rPr>
        <w:t>单价措施项目费仅计取脚手架措施项目费、混凝土、钢筋混凝土模板及支架措施项目费、垂直运输费、大型机械设备进出场及安拆费（根据发包人签证或确定的施工组织设计方案，并结合现场实际情况）、施工排水及排水措施费（根据发包人签证，并结合现场实际情况）；</w:t>
      </w:r>
    </w:p>
    <w:p>
      <w:pPr>
        <w:pStyle w:val="2"/>
        <w:spacing w:line="360" w:lineRule="auto"/>
        <w:ind w:left="0" w:firstLine="482" w:firstLineChars="200"/>
        <w:rPr>
          <w:rStyle w:val="32"/>
          <w:rFonts w:ascii="Times New Roman" w:eastAsia="宋体" w:cs="Times New Roman"/>
          <w:b/>
          <w:color w:val="auto"/>
          <w:kern w:val="2"/>
          <w:sz w:val="24"/>
          <w:szCs w:val="24"/>
          <w:highlight w:val="none"/>
          <w:u w:val="single" w:color="000000"/>
        </w:rPr>
      </w:pPr>
      <w:r>
        <w:rPr>
          <w:rStyle w:val="32"/>
          <w:rFonts w:ascii="Times New Roman" w:eastAsia="宋体" w:cs="Times New Roman"/>
          <w:b/>
          <w:color w:val="auto"/>
          <w:kern w:val="2"/>
          <w:sz w:val="24"/>
          <w:szCs w:val="24"/>
          <w:highlight w:val="none"/>
          <w:u w:val="single" w:color="000000"/>
        </w:rPr>
        <w:t>（15）其他约定：挖土量每8000m3计一次1m3履带式挖掘机台班进退场费；每300根桩计一次打桩机(1600KN)进退场费；大型机械楼栋之间转换不另计费用；深井降水按15000元/口计入，其他费用均不计；砼外加剂（含各类）按15元/m3计入；平整场地按105KW推土机计入；大型土石方基坑四周及坑底计算10cm人工挖土或修边坡，挖掘机挖土按1m3反铲计入；回填土按工程量30%人工配合，工程量70%压路机（8t）碾压，自卸汽车短驳或回运土方按1km考虑，现场确实无法堆土的，按签证计入；余方弃置自卸汽车运距结算时按签证计入，但不得超过10km；模板工程按砼接触面积计算；工程量采用广联达软件GTJ2021、计价采用清单大师软件；垂直运输天数按最新工期定额打85折；</w:t>
      </w:r>
    </w:p>
    <w:p>
      <w:pPr>
        <w:pStyle w:val="2"/>
        <w:spacing w:line="360" w:lineRule="auto"/>
        <w:ind w:left="0" w:firstLine="482" w:firstLineChars="200"/>
        <w:rPr>
          <w:rStyle w:val="32"/>
          <w:rFonts w:ascii="Times New Roman" w:eastAsia="宋体" w:cs="Times New Roman"/>
          <w:b/>
          <w:color w:val="auto"/>
          <w:sz w:val="24"/>
          <w:szCs w:val="24"/>
          <w:highlight w:val="none"/>
          <w:u w:val="single" w:color="000000"/>
        </w:rPr>
      </w:pPr>
      <w:r>
        <w:rPr>
          <w:rStyle w:val="32"/>
          <w:rFonts w:ascii="Times New Roman" w:eastAsia="宋体" w:cs="Times New Roman"/>
          <w:b/>
          <w:color w:val="auto"/>
          <w:sz w:val="24"/>
          <w:szCs w:val="24"/>
          <w:highlight w:val="none"/>
          <w:u w:val="single" w:color="000000"/>
        </w:rPr>
        <w:t>（16）材料价按照合同签订月当期材料价格记取，其中主要材料允许调差。允许调差的建筑工程主要材料指：钢材、商品砼，安装工程主要材料指电线、电缆。其他材料均不予调差。</w:t>
      </w:r>
    </w:p>
    <w:p>
      <w:pPr>
        <w:pStyle w:val="2"/>
        <w:spacing w:line="360" w:lineRule="auto"/>
        <w:ind w:left="0" w:firstLine="482" w:firstLineChars="200"/>
        <w:rPr>
          <w:rStyle w:val="32"/>
          <w:rFonts w:ascii="Times New Roman" w:eastAsia="宋体" w:cs="Times New Roman"/>
          <w:b/>
          <w:color w:val="auto"/>
          <w:sz w:val="24"/>
          <w:szCs w:val="24"/>
          <w:highlight w:val="none"/>
          <w:u w:val="single" w:color="000000"/>
        </w:rPr>
      </w:pPr>
      <w:r>
        <w:rPr>
          <w:rStyle w:val="32"/>
          <w:rFonts w:hint="eastAsia" w:ascii="宋体" w:hAnsi="宋体" w:eastAsia="宋体" w:cs="宋体"/>
          <w:b/>
          <w:color w:val="auto"/>
          <w:sz w:val="24"/>
          <w:szCs w:val="24"/>
          <w:highlight w:val="none"/>
          <w:u w:val="single" w:color="000000"/>
        </w:rPr>
        <w:t>①</w:t>
      </w:r>
      <w:r>
        <w:rPr>
          <w:rStyle w:val="32"/>
          <w:rFonts w:ascii="Times New Roman" w:eastAsia="宋体" w:cs="Times New Roman"/>
          <w:b/>
          <w:color w:val="auto"/>
          <w:sz w:val="24"/>
          <w:szCs w:val="24"/>
          <w:highlight w:val="none"/>
          <w:u w:val="single" w:color="000000"/>
        </w:rPr>
        <w:t xml:space="preserve">主体结构阶段（不含砖砌体、构造柱、圈梁）的钢筋和商品砼按每栋单体主体垫层施工至主体结顶工期信息价（正刊）的算术平均除税价A计算（地库按施工段分别计算，按地库垫层施工至地库结构顶板期间计算平均价），平均价与本工程合同签订月信息价（正刊）除税价B相比，钢筋、商品砼单价增减幅度超过5%（不含5%）的，则超过部分按[（A-B）－B×5%]（当A小于B时，公式为[（A-B）+B×5%]）×结算数量进行材差调整，差价仅计税金； </w:t>
      </w:r>
    </w:p>
    <w:p>
      <w:pPr>
        <w:pStyle w:val="2"/>
        <w:spacing w:line="360" w:lineRule="auto"/>
        <w:ind w:left="0" w:firstLine="482" w:firstLineChars="200"/>
        <w:rPr>
          <w:rStyle w:val="32"/>
          <w:rFonts w:ascii="Times New Roman" w:eastAsia="宋体" w:cs="Times New Roman"/>
          <w:b/>
          <w:color w:val="auto"/>
          <w:sz w:val="24"/>
          <w:szCs w:val="24"/>
          <w:highlight w:val="none"/>
          <w:u w:val="single" w:color="000000"/>
        </w:rPr>
      </w:pPr>
      <w:r>
        <w:rPr>
          <w:rStyle w:val="32"/>
          <w:rFonts w:hint="eastAsia" w:ascii="宋体" w:hAnsi="宋体" w:eastAsia="宋体" w:cs="宋体"/>
          <w:b/>
          <w:color w:val="auto"/>
          <w:sz w:val="24"/>
          <w:szCs w:val="24"/>
          <w:highlight w:val="none"/>
          <w:u w:val="single" w:color="000000"/>
        </w:rPr>
        <w:t>②</w:t>
      </w:r>
      <w:r>
        <w:rPr>
          <w:rStyle w:val="32"/>
          <w:rFonts w:ascii="Times New Roman" w:eastAsia="宋体" w:cs="Times New Roman"/>
          <w:b/>
          <w:color w:val="auto"/>
          <w:sz w:val="24"/>
          <w:szCs w:val="24"/>
          <w:highlight w:val="none"/>
          <w:u w:val="single" w:color="000000"/>
        </w:rPr>
        <w:t>主体结构以外使用的钢筋和砼：不调整；</w:t>
      </w:r>
    </w:p>
    <w:p>
      <w:pPr>
        <w:pStyle w:val="2"/>
        <w:spacing w:line="360" w:lineRule="auto"/>
        <w:ind w:left="0" w:firstLine="482" w:firstLineChars="200"/>
        <w:rPr>
          <w:rStyle w:val="32"/>
          <w:rFonts w:ascii="Times New Roman" w:eastAsia="宋体" w:cs="Times New Roman"/>
          <w:b/>
          <w:color w:val="auto"/>
          <w:sz w:val="24"/>
          <w:szCs w:val="24"/>
          <w:highlight w:val="none"/>
          <w:u w:val="single" w:color="000000"/>
        </w:rPr>
      </w:pPr>
      <w:r>
        <w:rPr>
          <w:rStyle w:val="32"/>
          <w:rFonts w:hint="eastAsia" w:ascii="宋体" w:hAnsi="宋体" w:eastAsia="宋体" w:cs="宋体"/>
          <w:b/>
          <w:color w:val="auto"/>
          <w:sz w:val="24"/>
          <w:szCs w:val="24"/>
          <w:highlight w:val="none"/>
          <w:u w:val="single" w:color="000000"/>
        </w:rPr>
        <w:t>③</w:t>
      </w:r>
      <w:r>
        <w:rPr>
          <w:rStyle w:val="32"/>
          <w:rFonts w:ascii="Times New Roman" w:eastAsia="宋体" w:cs="Times New Roman"/>
          <w:b/>
          <w:color w:val="auto"/>
          <w:sz w:val="24"/>
          <w:szCs w:val="24"/>
          <w:highlight w:val="none"/>
          <w:u w:val="single" w:color="000000"/>
        </w:rPr>
        <w:t>电线、电缆按每栋住宅主体结构封顶至竣工验收工期造价信息政府指导价（正刊）的平均除税价A计算，平均价与本工程开标当月造价信息政府指导价（正刊）除税价B相比，单价增减幅度超过5%的，则超过部分按[（A-B）－B×5%]（当A小于B时，公式为[（A-B）+B×5%]）×结算数量进行材差调整，差价仅计税金。</w:t>
      </w:r>
    </w:p>
    <w:p>
      <w:pPr>
        <w:pStyle w:val="2"/>
        <w:spacing w:line="360" w:lineRule="auto"/>
        <w:ind w:left="0" w:firstLine="482" w:firstLineChars="200"/>
        <w:rPr>
          <w:rStyle w:val="32"/>
          <w:rFonts w:ascii="Times New Roman" w:eastAsia="宋体" w:cs="Times New Roman"/>
          <w:b/>
          <w:color w:val="auto"/>
          <w:sz w:val="24"/>
          <w:szCs w:val="24"/>
          <w:highlight w:val="none"/>
          <w:u w:val="single" w:color="000000"/>
        </w:rPr>
      </w:pPr>
      <w:r>
        <w:rPr>
          <w:rStyle w:val="32"/>
          <w:rFonts w:ascii="Times New Roman" w:eastAsia="宋体" w:cs="Times New Roman"/>
          <w:b/>
          <w:color w:val="auto"/>
          <w:sz w:val="24"/>
          <w:szCs w:val="24"/>
          <w:highlight w:val="none"/>
          <w:u w:val="single" w:color="000000"/>
        </w:rPr>
        <w:t>当指导价中某一材料价格为价格区间或存在多个价格时，按最低价计入。</w:t>
      </w:r>
    </w:p>
    <w:p>
      <w:pPr>
        <w:pStyle w:val="2"/>
        <w:spacing w:line="360" w:lineRule="auto"/>
        <w:ind w:left="0" w:firstLine="482" w:firstLineChars="200"/>
        <w:rPr>
          <w:rStyle w:val="32"/>
          <w:rFonts w:ascii="Times New Roman" w:eastAsia="宋体" w:cs="Times New Roman"/>
          <w:b/>
          <w:color w:val="auto"/>
          <w:sz w:val="24"/>
          <w:szCs w:val="24"/>
          <w:highlight w:val="none"/>
          <w:u w:val="single" w:color="000000"/>
        </w:rPr>
      </w:pPr>
      <w:r>
        <w:rPr>
          <w:rStyle w:val="32"/>
          <w:rFonts w:ascii="Times New Roman" w:eastAsia="宋体" w:cs="Times New Roman"/>
          <w:b/>
          <w:color w:val="auto"/>
          <w:sz w:val="24"/>
          <w:szCs w:val="24"/>
          <w:highlight w:val="none"/>
          <w:u w:val="single" w:color="000000"/>
        </w:rPr>
        <w:t>（17）人工费（包括机械用工）按照合同签订月当期指导价计入，过程不调整；零星签证用工按照合同签订月当期指导价中点工计入。</w:t>
      </w:r>
    </w:p>
    <w:p>
      <w:pPr>
        <w:pStyle w:val="2"/>
        <w:spacing w:line="360" w:lineRule="auto"/>
        <w:ind w:left="0" w:firstLine="482" w:firstLineChars="200"/>
        <w:rPr>
          <w:rStyle w:val="32"/>
          <w:rFonts w:ascii="Times New Roman" w:eastAsia="宋体" w:cs="Times New Roman"/>
          <w:b/>
          <w:bCs/>
          <w:color w:val="auto"/>
          <w:sz w:val="24"/>
          <w:szCs w:val="24"/>
          <w:highlight w:val="none"/>
          <w:u w:val="single" w:color="000000"/>
        </w:rPr>
      </w:pPr>
      <w:r>
        <w:rPr>
          <w:rStyle w:val="32"/>
          <w:rFonts w:ascii="Times New Roman" w:eastAsia="宋体" w:cs="Times New Roman"/>
          <w:b/>
          <w:color w:val="auto"/>
          <w:sz w:val="24"/>
          <w:szCs w:val="24"/>
          <w:highlight w:val="none"/>
          <w:u w:val="single" w:color="000000"/>
        </w:rPr>
        <w:t>（18）</w:t>
      </w:r>
      <w:r>
        <w:rPr>
          <w:rStyle w:val="32"/>
          <w:rFonts w:ascii="Times New Roman" w:eastAsia="宋体" w:cs="Times New Roman"/>
          <w:b/>
          <w:bCs/>
          <w:color w:val="auto"/>
          <w:sz w:val="24"/>
          <w:szCs w:val="24"/>
          <w:highlight w:val="none"/>
          <w:u w:val="single" w:color="000000"/>
        </w:rPr>
        <w:t>分工序进行已完工程量的计量，完成工程量由招标人及监理现场签证并留有影像资料，并按实际完成的合格工程量计量支付，在工程实施过程中，承包人必须收集齐全所有隐蔽项目的施工全过程影像视频资料，随结算资料一并提交。所有签证资料必须附有详细影像彩色照片，所摄照片必须有可参照性。如隐蔽项目影像资料未能反映签证、清单及其他结算资料列明的工作内容，则结算时该项内容不予认可。</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（19）甲供材料数量超欠供处理方法：若结算总量小于实际供应的总量，应根据合同约定，另外扣除超领部分甲供材料款；若结算总量大于实际供应的总量，且二者差额在定额规定损耗率之内，可按节约量以双方 5：5 分成原则，发包人作为奖励给与承包人；若结算总量大于实际供应的总量，且差额超出定额规定的损耗率，按结算总量扣款。</w:t>
      </w:r>
    </w:p>
    <w:p>
      <w:pPr>
        <w:pStyle w:val="2"/>
        <w:spacing w:line="360" w:lineRule="auto"/>
        <w:ind w:left="0" w:firstLine="480" w:firstLineChars="200"/>
        <w:rPr>
          <w:rStyle w:val="32"/>
          <w:rFonts w:ascii="Times New Roman" w:eastAsia="宋体" w:cs="Times New Roman"/>
          <w:color w:val="auto"/>
          <w:kern w:val="2"/>
          <w:sz w:val="24"/>
          <w:szCs w:val="24"/>
          <w:highlight w:val="none"/>
        </w:rPr>
      </w:pPr>
      <w:r>
        <w:rPr>
          <w:rStyle w:val="32"/>
          <w:rFonts w:hint="eastAsia" w:ascii="Times New Roman" w:eastAsia="宋体" w:cs="Times New Roman"/>
          <w:color w:val="auto"/>
          <w:kern w:val="2"/>
          <w:sz w:val="24"/>
          <w:szCs w:val="24"/>
          <w:highlight w:val="none"/>
        </w:rPr>
        <w:t>（20）小区或厂区内的配套工程按照建筑（含厂区内的雨污水、市政配套工程）、安装工程三类计取。</w:t>
      </w:r>
    </w:p>
    <w:p>
      <w:pPr>
        <w:pStyle w:val="2"/>
        <w:spacing w:line="360" w:lineRule="auto"/>
        <w:ind w:left="0" w:firstLine="480" w:firstLineChars="200"/>
        <w:rPr>
          <w:rStyle w:val="32"/>
          <w:rFonts w:ascii="Times New Roman" w:eastAsia="宋体" w:cs="Times New Roman"/>
          <w:color w:val="auto"/>
          <w:kern w:val="2"/>
          <w:sz w:val="24"/>
          <w:szCs w:val="24"/>
          <w:highlight w:val="none"/>
        </w:rPr>
      </w:pPr>
      <w:r>
        <w:rPr>
          <w:rStyle w:val="32"/>
          <w:rFonts w:hint="eastAsia" w:ascii="Times New Roman" w:eastAsia="宋体" w:cs="Times New Roman"/>
          <w:color w:val="auto"/>
          <w:kern w:val="2"/>
          <w:sz w:val="24"/>
          <w:szCs w:val="24"/>
          <w:highlight w:val="none"/>
        </w:rPr>
        <w:t>（21）如本工程因工期、节点等因素，暂未接通临时用电，而要求承包单位自行发电施工，使用发电机所增加的费用承包人自行在报价浮动率中考虑，不另行记取。</w:t>
      </w:r>
    </w:p>
    <w:p>
      <w:pPr>
        <w:pStyle w:val="2"/>
        <w:spacing w:line="360" w:lineRule="auto"/>
        <w:ind w:left="0" w:firstLine="480" w:firstLineChars="200"/>
        <w:rPr>
          <w:rStyle w:val="32"/>
          <w:rFonts w:ascii="Times New Roman" w:eastAsia="宋体" w:cs="Times New Roman"/>
          <w:color w:val="auto"/>
          <w:kern w:val="2"/>
          <w:sz w:val="24"/>
          <w:szCs w:val="24"/>
          <w:highlight w:val="none"/>
        </w:rPr>
      </w:pPr>
      <w:r>
        <w:rPr>
          <w:rStyle w:val="32"/>
          <w:rFonts w:hint="eastAsia" w:ascii="Times New Roman" w:eastAsia="宋体" w:cs="Times New Roman"/>
          <w:color w:val="auto"/>
          <w:kern w:val="2"/>
          <w:sz w:val="24"/>
          <w:szCs w:val="24"/>
          <w:highlight w:val="none"/>
        </w:rPr>
        <w:t>（22）当因发包人原因造成窝工的，可记取人工窝工费、机械停滞费、脚手架闲置费，以上费用仅记取税金，不再计取措施费、其他费、规费。窝工时间以发包人正式下发的停工通知单及复工通知单计算。</w:t>
      </w:r>
    </w:p>
    <w:p>
      <w:pPr>
        <w:pStyle w:val="2"/>
        <w:spacing w:line="360" w:lineRule="auto"/>
        <w:ind w:left="0" w:firstLine="480" w:firstLineChars="200"/>
        <w:rPr>
          <w:rFonts w:ascii="Times New Roman" w:eastAsia="宋体" w:cs="Times New Roman"/>
          <w:color w:val="auto"/>
          <w:sz w:val="24"/>
          <w:szCs w:val="24"/>
          <w:highlight w:val="none"/>
        </w:rPr>
      </w:pPr>
      <w:r>
        <w:rPr>
          <w:rFonts w:hint="eastAsia" w:ascii="宋体" w:hAnsi="宋体" w:eastAsia="宋体" w:cs="宋体"/>
          <w:color w:val="auto"/>
          <w:sz w:val="24"/>
          <w:szCs w:val="24"/>
          <w:highlight w:val="none"/>
        </w:rPr>
        <w:t>①</w:t>
      </w:r>
      <w:r>
        <w:rPr>
          <w:rFonts w:ascii="Times New Roman" w:eastAsia="宋体" w:cs="Times New Roman"/>
          <w:color w:val="auto"/>
          <w:sz w:val="24"/>
          <w:szCs w:val="24"/>
          <w:highlight w:val="none"/>
        </w:rPr>
        <w:t>人工窝工费（工人、管理人员）：40元/工日记取；</w:t>
      </w:r>
    </w:p>
    <w:p>
      <w:pPr>
        <w:pStyle w:val="2"/>
        <w:spacing w:line="360" w:lineRule="auto"/>
        <w:ind w:left="0" w:firstLine="480" w:firstLineChars="200"/>
        <w:rPr>
          <w:rFonts w:ascii="Times New Roman" w:eastAsia="宋体" w:cs="Times New Roman"/>
          <w:color w:val="auto"/>
          <w:sz w:val="24"/>
          <w:szCs w:val="24"/>
          <w:highlight w:val="none"/>
        </w:rPr>
      </w:pPr>
      <w:r>
        <w:rPr>
          <w:rFonts w:hint="eastAsia" w:ascii="宋体" w:hAnsi="宋体" w:eastAsia="宋体" w:cs="宋体"/>
          <w:color w:val="auto"/>
          <w:sz w:val="24"/>
          <w:szCs w:val="24"/>
          <w:highlight w:val="none"/>
        </w:rPr>
        <w:t>②</w:t>
      </w:r>
      <w:r>
        <w:rPr>
          <w:rFonts w:ascii="Times New Roman" w:eastAsia="宋体" w:cs="Times New Roman"/>
          <w:color w:val="auto"/>
          <w:sz w:val="24"/>
          <w:szCs w:val="24"/>
          <w:highlight w:val="none"/>
        </w:rPr>
        <w:t>机械停滞费：按机械台班费的50%记取；</w:t>
      </w:r>
    </w:p>
    <w:p>
      <w:pPr>
        <w:pStyle w:val="2"/>
        <w:spacing w:line="360" w:lineRule="auto"/>
        <w:ind w:left="0" w:firstLine="480" w:firstLineChars="200"/>
        <w:rPr>
          <w:rFonts w:ascii="Times New Roman" w:eastAsia="宋体" w:cs="Times New Roman"/>
          <w:color w:val="auto"/>
          <w:sz w:val="24"/>
          <w:szCs w:val="24"/>
          <w:highlight w:val="none"/>
        </w:rPr>
      </w:pPr>
      <w:r>
        <w:rPr>
          <w:rFonts w:hint="eastAsia" w:ascii="宋体" w:hAnsi="宋体" w:eastAsia="宋体" w:cs="宋体"/>
          <w:color w:val="auto"/>
          <w:sz w:val="24"/>
          <w:szCs w:val="24"/>
          <w:highlight w:val="none"/>
        </w:rPr>
        <w:t>③</w:t>
      </w:r>
      <w:r>
        <w:rPr>
          <w:rFonts w:ascii="Times New Roman" w:eastAsia="宋体" w:cs="Times New Roman"/>
          <w:color w:val="auto"/>
          <w:sz w:val="24"/>
          <w:szCs w:val="24"/>
          <w:highlight w:val="none"/>
        </w:rPr>
        <w:t>脚手架闲置费：5元/平方/月记取；</w:t>
      </w:r>
    </w:p>
    <w:p>
      <w:pPr>
        <w:pStyle w:val="2"/>
        <w:spacing w:line="360" w:lineRule="auto"/>
        <w:ind w:left="0" w:firstLine="480" w:firstLineChars="200"/>
        <w:rPr>
          <w:rFonts w:ascii="Times New Roman" w:eastAsia="宋体" w:cs="Times New Roman"/>
          <w:color w:val="auto"/>
          <w:sz w:val="24"/>
          <w:szCs w:val="24"/>
          <w:highlight w:val="none"/>
        </w:rPr>
      </w:pPr>
      <w:r>
        <w:rPr>
          <w:rFonts w:ascii="Times New Roman" w:eastAsia="宋体" w:cs="Times New Roman"/>
          <w:color w:val="auto"/>
          <w:sz w:val="24"/>
          <w:szCs w:val="24"/>
          <w:highlight w:val="none"/>
        </w:rPr>
        <w:t>（23）在施工过程中，如因中标单位原因导致无法胜任本工程的施工，则除履约保证金不予退还外，结算时已完合格工程按60%计算，还应承担赔偿发包人损失的责任。</w:t>
      </w:r>
    </w:p>
    <w:p>
      <w:pPr>
        <w:pStyle w:val="2"/>
        <w:spacing w:line="360" w:lineRule="auto"/>
        <w:ind w:left="0" w:firstLine="480" w:firstLineChars="200"/>
        <w:rPr>
          <w:rFonts w:ascii="Times New Roman" w:eastAsia="宋体" w:cs="Times New Roman"/>
          <w:color w:val="auto"/>
          <w:sz w:val="24"/>
          <w:szCs w:val="24"/>
          <w:highlight w:val="none"/>
        </w:rPr>
      </w:pPr>
      <w:r>
        <w:rPr>
          <w:rFonts w:ascii="Times New Roman" w:eastAsia="宋体" w:cs="Times New Roman"/>
          <w:color w:val="auto"/>
          <w:sz w:val="24"/>
          <w:szCs w:val="24"/>
          <w:highlight w:val="none"/>
        </w:rPr>
        <w:t>（24）承包人须在工程竣工验收后7天内拆除现场所有临时设施。包括所有的建筑垃圾及剩余材料全部清运出现场的费用。清理标准应得到发包人认可，否则，如发生相关费用则由发包人按实际发生费用的2倍及以上在工程结算价款中扣除。环卫等部门预收保证金由承包人负责清退。</w:t>
      </w:r>
    </w:p>
    <w:p>
      <w:pPr>
        <w:pStyle w:val="2"/>
        <w:spacing w:line="360" w:lineRule="auto"/>
        <w:ind w:left="0" w:firstLine="480" w:firstLineChars="200"/>
        <w:rPr>
          <w:rFonts w:ascii="Times New Roman" w:eastAsia="宋体" w:cs="Times New Roman"/>
          <w:color w:val="auto"/>
          <w:sz w:val="24"/>
          <w:szCs w:val="24"/>
          <w:highlight w:val="none"/>
        </w:rPr>
      </w:pPr>
      <w:r>
        <w:rPr>
          <w:rFonts w:ascii="Times New Roman" w:eastAsia="宋体" w:cs="Times New Roman"/>
          <w:color w:val="auto"/>
          <w:sz w:val="24"/>
          <w:szCs w:val="24"/>
          <w:highlight w:val="none"/>
        </w:rPr>
        <w:t>（25）因承包人原因延误工期，在规定的工期前未能完成，则除前述约定的30%的履约保证金金额不予退还外，工期每推迟一天，向发包人支付违约金5000元；超过10天，发包人有权要求承包人清退出场，所完成的合格工程量按60%计算。其他按通用条款中约定内容执行。</w:t>
      </w:r>
    </w:p>
    <w:p>
      <w:pPr>
        <w:pStyle w:val="2"/>
        <w:spacing w:line="360" w:lineRule="auto"/>
        <w:ind w:left="0" w:right="420" w:rightChars="200" w:firstLine="480" w:firstLineChars="200"/>
        <w:rPr>
          <w:rFonts w:ascii="Times New Roman" w:eastAsia="宋体" w:cs="Times New Roman"/>
          <w:color w:val="auto"/>
          <w:sz w:val="24"/>
          <w:szCs w:val="24"/>
          <w:highlight w:val="none"/>
        </w:rPr>
      </w:pPr>
      <w:r>
        <w:rPr>
          <w:rFonts w:ascii="Times New Roman" w:eastAsia="宋体" w:cs="Times New Roman"/>
          <w:color w:val="auto"/>
          <w:sz w:val="24"/>
          <w:szCs w:val="24"/>
          <w:highlight w:val="none"/>
        </w:rPr>
        <w:t>（26）市政公用工程中各专业工程的取费按照市政工程中相应专业的三类工程计取、景观绿化工程中各专业的取费按照园林工程中相应专业的三类工程计取。</w:t>
      </w:r>
    </w:p>
    <w:p>
      <w:pPr>
        <w:pStyle w:val="2"/>
        <w:spacing w:line="360" w:lineRule="auto"/>
        <w:ind w:left="0" w:firstLine="480" w:firstLineChars="200"/>
        <w:rPr>
          <w:rFonts w:ascii="Times New Roman" w:eastAsia="宋体" w:cs="Times New Roman"/>
          <w:color w:val="auto"/>
          <w:sz w:val="24"/>
          <w:szCs w:val="24"/>
          <w:highlight w:val="none"/>
        </w:rPr>
      </w:pPr>
      <w:r>
        <w:rPr>
          <w:rFonts w:ascii="Times New Roman" w:eastAsia="宋体" w:cs="Times New Roman"/>
          <w:color w:val="auto"/>
          <w:sz w:val="24"/>
          <w:szCs w:val="24"/>
          <w:highlight w:val="none"/>
        </w:rPr>
        <w:t>（27）绿化养护期若图纸没有约定的，</w:t>
      </w:r>
      <w:r>
        <w:rPr>
          <w:rFonts w:hint="eastAsia" w:ascii="Times New Roman" w:eastAsia="宋体" w:cs="Times New Roman"/>
          <w:color w:val="auto"/>
          <w:sz w:val="24"/>
          <w:szCs w:val="24"/>
          <w:highlight w:val="none"/>
        </w:rPr>
        <w:t>按照2年三类养护计取</w:t>
      </w:r>
      <w:r>
        <w:rPr>
          <w:rFonts w:ascii="Times New Roman" w:eastAsia="宋体" w:cs="Times New Roman"/>
          <w:color w:val="auto"/>
          <w:sz w:val="24"/>
          <w:szCs w:val="24"/>
          <w:highlight w:val="none"/>
        </w:rPr>
        <w:t>。</w:t>
      </w:r>
    </w:p>
    <w:p>
      <w:pPr>
        <w:pStyle w:val="2"/>
        <w:spacing w:line="360" w:lineRule="auto"/>
        <w:ind w:left="0" w:firstLine="480" w:firstLineChars="200"/>
        <w:rPr>
          <w:rFonts w:ascii="Times New Roman" w:eastAsia="宋体" w:cs="Times New Roman"/>
          <w:color w:val="auto"/>
          <w:sz w:val="24"/>
          <w:szCs w:val="24"/>
          <w:highlight w:val="none"/>
        </w:rPr>
      </w:pPr>
      <w:r>
        <w:rPr>
          <w:rFonts w:ascii="Times New Roman" w:eastAsia="宋体" w:cs="Times New Roman"/>
          <w:color w:val="auto"/>
          <w:sz w:val="24"/>
          <w:szCs w:val="24"/>
          <w:highlight w:val="none"/>
        </w:rPr>
        <w:t>（28）绿化结算审计工作在养护期结束后进行，没有成活的部分不计取工程量。</w:t>
      </w:r>
    </w:p>
    <w:p>
      <w:pPr>
        <w:pStyle w:val="2"/>
        <w:spacing w:line="360" w:lineRule="auto"/>
        <w:ind w:left="0" w:firstLine="480" w:firstLineChars="200"/>
        <w:rPr>
          <w:rFonts w:ascii="Times New Roman" w:eastAsia="宋体" w:cs="Times New Roman"/>
          <w:color w:val="auto"/>
          <w:sz w:val="24"/>
          <w:szCs w:val="24"/>
          <w:highlight w:val="none"/>
        </w:rPr>
      </w:pPr>
      <w:r>
        <w:rPr>
          <w:rFonts w:ascii="Times New Roman" w:eastAsia="宋体" w:cs="Times New Roman"/>
          <w:color w:val="auto"/>
          <w:sz w:val="24"/>
          <w:szCs w:val="24"/>
          <w:highlight w:val="none"/>
        </w:rPr>
        <w:t>（29）景观工程施工前承包人应与甲方确认各品种的材料，取样品留甲方处封样，如施工单位不按照封样的品种规格进行施工，则结算时该项内容不予认可。</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（30）安全设施的标志板、标杆、标线、波形护栏等，有信息价（优先采用如皋市信息价，后采用南通市信息价）的按信息价计取，无信息的都需要有市场认价书面资料，或其他合法程序确定。</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2</w:t>
      </w:r>
      <w:r>
        <w:rPr>
          <w:rStyle w:val="32"/>
          <w:rFonts w:hint="eastAsia" w:cs="Times New Roman"/>
          <w:color w:val="auto"/>
          <w:sz w:val="24"/>
          <w:szCs w:val="24"/>
          <w:highlight w:val="none"/>
        </w:rPr>
        <w:t>．</w:t>
      </w:r>
      <w:r>
        <w:rPr>
          <w:rStyle w:val="32"/>
          <w:rFonts w:cs="Times New Roman"/>
          <w:color w:val="auto"/>
          <w:sz w:val="24"/>
          <w:szCs w:val="24"/>
          <w:highlight w:val="none"/>
        </w:rPr>
        <w:t>计价依据（YXGC-3、6-交通领域）</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（1）《公路工程标准施工招标文件》（2018版）</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（2）《公路工程预算定额》（JTG/T 3832-2018）；</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（3）《公路工程建设项目概算预算编制办法》（JTG3830-2018）</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（4）《公路工程机械台班费用定额》（JTG-T3833-2018 ）</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（5）交通运输部办公厅【2016】66 号“交通运输部办公厅关于印发《公路工程营业税改征增值税计价依据调整方案》的通知”</w:t>
      </w:r>
    </w:p>
    <w:p>
      <w:pPr>
        <w:adjustRightInd w:val="0"/>
        <w:snapToGrid w:val="0"/>
        <w:spacing w:line="360" w:lineRule="auto"/>
        <w:ind w:firstLine="480" w:firstLineChars="200"/>
        <w:rPr>
          <w:rStyle w:val="32"/>
          <w:rFonts w:cs="Times New Roman"/>
          <w:color w:val="auto"/>
          <w:highlight w:val="none"/>
        </w:rPr>
      </w:pPr>
      <w:r>
        <w:rPr>
          <w:rStyle w:val="32"/>
          <w:rFonts w:cs="Times New Roman"/>
          <w:color w:val="auto"/>
          <w:sz w:val="24"/>
          <w:szCs w:val="24"/>
          <w:highlight w:val="none"/>
        </w:rPr>
        <w:t>（6）土资源费：工程如需土方外购的，土源费按照天然密实方列入，土源费包括从土源地到本标段所可能发生的一切费用，含征地费、土源费、挖装运费、道路使用维护费及有经验的承包人应该预见的其他费用。外购费用按照含税价25元/m3计取。</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（7）物价波动引起的价格调整：</w:t>
      </w:r>
    </w:p>
    <w:p>
      <w:pPr>
        <w:numPr>
          <w:ilvl w:val="0"/>
          <w:numId w:val="6"/>
        </w:num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数量确定：以计量周期内承包人实际完成经过监理人确认计量，并上报发包人核准的工程量为计算调价的工程数量。且不论承包人的实际施工时间如何，均以监理人计量核定签证上报之日为准。</w:t>
      </w:r>
    </w:p>
    <w:p>
      <w:pPr>
        <w:numPr>
          <w:ilvl w:val="0"/>
          <w:numId w:val="6"/>
        </w:num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调价内容：对于直接用于永久工程的材料可实行调差，调差公式见附件《江苏省交通建设工程材料价差调整及价格风险控制指导意见》（苏交质【2008】38号文件）执行，调差材料种类限于：钢材、柴油、水泥、碎石、中（粗）砂、生石灰、沥青（改性、重交）。调差数量指标参照江苏省交通工程建设局苏交建计【2017】7号文4.2款执行。</w:t>
      </w:r>
    </w:p>
    <w:p>
      <w:pPr>
        <w:numPr>
          <w:ilvl w:val="0"/>
          <w:numId w:val="6"/>
        </w:num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价格认定：结算时以签订合同日前第28天适用的如皋建设工程造价信息为基准价（如皋信息价中没有的，参照同期南通市工程造价信息价），调差纳入结算统一计算。</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8）在工程施工作业中产生的废渣或废料或弃土，应由承包人自行处置，且应满足环保要求，不得因此给业主带来投诉、争议或索赔。废料的残值及处置费用，均由承包人自行得益或承担，并在投标报价中充分考虑，不另行计价。且废渣或废料或弃土或土方在运输过程中应做好与城管、环保等相关部门的协调沟通工作，须满足土方运输的相关要求。</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9）承包人在施工过程中应按照国家、江苏省、南通市、如皋市及发包人相关文件的规定做好施工扬尘的污染防治工作，由此产生的相关费用承包人在本项目工程量清单其他相关子目的单价或总额价中予以考虑，发包人不另支付。</w:t>
      </w:r>
    </w:p>
    <w:p>
      <w:pPr>
        <w:adjustRightInd w:val="0"/>
        <w:snapToGrid w:val="0"/>
        <w:spacing w:line="360" w:lineRule="auto"/>
        <w:ind w:firstLine="480" w:firstLineChars="200"/>
        <w:rPr>
          <w:rFonts w:cs="Times New Roman"/>
          <w:color w:val="auto"/>
          <w:sz w:val="24"/>
          <w:szCs w:val="24"/>
          <w:highlight w:val="none"/>
        </w:rPr>
      </w:pPr>
      <w:r>
        <w:rPr>
          <w:rStyle w:val="32"/>
          <w:rFonts w:cs="Times New Roman"/>
          <w:color w:val="auto"/>
          <w:sz w:val="24"/>
          <w:szCs w:val="24"/>
          <w:highlight w:val="none"/>
        </w:rPr>
        <w:t>（10）安全设施及预埋管线</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602-2 波形梁钢护栏：</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a波形梁钢护栏（含立柱）为安装就位并经验收合格，其长度沿栏杆面（不包括端头）量取，按米计量。其中，施工图中有钢筋混凝土立柱基础的，其综合单价在组价时已考虑，投标单位不得另行计量。</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b中分带处波形梁钢护栏（含立柱）为安装就位并经验收合格，其长度沿栏杆面（不包括端头）量取，按单侧长度以米为单位计量（即只算中分带一侧，另一侧不计量）；其综合单价在组价时按双侧长度考虑。</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602-5 波形梁钢护栏起、终端头：按不同类型以个为单位分别计量。</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603-5 桥下防护网：桥下防护网以米计量，钢立柱及钢筋混凝土基础包含在报价中，钢筋及立柱斜撑、安设网片的支架、预埋件、紧固件等不另行计量。</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604 交通标志：标志按图纸规定提供、装好、埋设就位和验收的不同，分别计量；所有各式交通标志均已个为单位计量。所有支撑结构、底座、硬件和为完成组装而需要的附件，均附属于各有关标志工程子目内，不另行计量。</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该子目综合单价中已包括基坑的挖运回填、钢筋的制作安装及浇筑混凝土。</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605-1 热熔型涂料路面标线：路面标线按图纸所示，经验收通过后，以热熔型涂料的涂覆实际面积，以平方米为单位计量。反光型的路面标线玻璃珠应包含在涂覆面积内，不另行计量。</w:t>
      </w:r>
    </w:p>
    <w:p>
      <w:pPr>
        <w:adjustRightInd w:val="0"/>
        <w:snapToGrid w:val="0"/>
        <w:spacing w:line="360" w:lineRule="auto"/>
        <w:ind w:firstLine="480" w:firstLineChars="200"/>
        <w:rPr>
          <w:rFonts w:cs="Times New Roman"/>
          <w:color w:val="auto"/>
          <w:sz w:val="24"/>
          <w:szCs w:val="24"/>
          <w:highlight w:val="none"/>
        </w:rPr>
      </w:pPr>
      <w:r>
        <w:rPr>
          <w:rStyle w:val="32"/>
          <w:rFonts w:cs="Times New Roman"/>
          <w:color w:val="auto"/>
          <w:sz w:val="24"/>
          <w:szCs w:val="24"/>
          <w:highlight w:val="none"/>
        </w:rPr>
        <w:t>606-1 防眩板：防眩网设置安装完成并经验收后以块计量。为安装防眩网设置的预埋件、连接件、立柱以及钢构件的焊接等均为防眩网工程的附属工作，不另行计量。</w:t>
      </w:r>
    </w:p>
    <w:p>
      <w:pPr>
        <w:adjustRightInd w:val="0"/>
        <w:snapToGrid w:val="0"/>
        <w:spacing w:line="360" w:lineRule="auto"/>
        <w:ind w:firstLine="480" w:firstLineChars="200"/>
        <w:rPr>
          <w:rStyle w:val="32"/>
          <w:rFonts w:cs="Times New Roman"/>
          <w:color w:val="auto"/>
          <w:sz w:val="24"/>
          <w:highlight w:val="none"/>
        </w:rPr>
      </w:pPr>
      <w:r>
        <w:rPr>
          <w:rStyle w:val="32"/>
          <w:rFonts w:hint="eastAsia" w:cs="Times New Roman"/>
          <w:color w:val="auto"/>
          <w:sz w:val="24"/>
          <w:highlight w:val="none"/>
        </w:rPr>
        <w:t>3.</w:t>
      </w:r>
      <w:r>
        <w:rPr>
          <w:rStyle w:val="32"/>
          <w:rFonts w:cs="Times New Roman"/>
          <w:color w:val="auto"/>
          <w:sz w:val="24"/>
          <w:highlight w:val="none"/>
        </w:rPr>
        <w:t>各投标人在投标报价时应综合考虑以下因素，中标后不得对招标人提出额外增加费用的要求，招标人不再另行支付费用：</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（1）施工现场交由承包人负责接管，此后发生土方被盗、被置换等问题由中标单位自行承担。</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2）招标人委托承包人办理交通管制的行政审批的申请手续，通告费由承包人负责，交通管制所涉及的其他一切费用已包含在工程合同价中。承包人施工期间的交通组织原则上按照交警部门审批通过的交通组织设计方案执行。施工地段以外其它道路路口的交通诱导、指示、警示等标志由投标单位自行考虑并设置。所有交通设施必须在交警部门的指导下设置，并满足交警部门的要求。承包人还应结合各自的施工方案和现场实际，设置临时便道、便桥。上述各种组织措施（包括各种临时标牌、标线、信号灯、临时便道、便桥等）的所有费用包含在合同价中。施工区域周边厂企门口、居民区等出入口的交通组织、管理、责任由承包人负责，承包人可自行派专人、也可委托交警进行管理，其费用包含在合同价中。</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（6）承包人应充分考虑工程实施范围内外的单位、个人和其他可能出现的阻挠施工所发生的费用，以及因类似问题引起的工期延误所发生的费用，发包人不再承担此类费用。</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（7）本工程在实施过程中可能会受到季节、气候的影响，对于可能发生的回填土处理及其费用，由承包人自行考虑，以确保工程质量和工期，相关费用包含在合同价中，今后不再签证。</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8）设计图纸中若有施工方案，则为建议方案，承包人应自行考虑是否需要调整，如需调整，调整后的施工方案在得到招标人、监理单位、设计单位认可后方可实施，实施过程中不管方案如何调整，费用不再调整。</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（9）对施工过程中遇到的征地拆迁以外的其他所有前期问题，均由承包人自行解决，费用包含在合同价中。</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（10）因施工需要，需临时使用红线以外土地的或向其他单位租用土地的，由承包人自行解决，费用包含在合同价中。</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（11）承包人不得将施工过程中的泥浆水排入原有雨污水系统，以免造成堵塞，否则由此引起的费用、责任由承包人自行承担。</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（12）承包人必须保护现有房屋、道路、绿化、结构物等成品，如有损坏，应按照不低于原设计标准恢复，费用自行承担；若该破坏是必需的，则请将恢复的费用包含在合同价中。</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13）建筑工程一切险或安装工程一切险，由承包人自行投保。承包人要为其施工现场的全部人员（包括其员工及为履行合同聘请的第三方人员）办理意外伤害保险并支付保险费。费用包含在合同价中，且一次性包干，结算时不作调整。</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14）本工程执行《市政府政办发〔办公室关于转发市物价局等四部门《南通市城市施工工地扬尘排污费征收管理试行办法》的通知》（通2016〕21号）文件及如皋市相应文件，招标人委托承包人按照文件要求办理扬尘排污申报工作，委托承包人编制并报送扬尘控制专项施工方案，该方案须经发包人、监理认可，其费用包含在合同价中。</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施工期间，承包人必须采取有效的扬尘排污控制措施，如因承包人扬尘控制措施不到位，致使招标人在工程竣工后需向市环保部门缴纳扬尘排污费的，则该费用由承包人全额承担，并在结算中扣除。</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（15）承包人应根据工期配备足够的钻机、模板、支架设备，以确保工程如期完成，所需投入的一切费用包含在合同价中。</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16）承包人施工中应注意与相邻近的建筑物（构筑物）的关系，采取合理的措施，避免产生不利影响，相关措施费用包含在合同价中，一次性包干，若因中标单位原因造成建筑物（构筑物）出现位移、裂缝等情况，由承包人负责赔偿。</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17）承包人须认真仔细地踏勘现场，如因前期问题造成工期延误，可酌情延长工期，工期延长时间以监理工程师报招标人批准为准，但招标人不因此支付赔偿费用。承包人踏勘现场应充分了解工地位置情况，包括道路、储存空间、装卸限制及任何其它足以影响承包价的情况，任何忽视或误解工地情况而导致的索赔及工期延长申请将不被批准。</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（18-1） 标段内的临时道路设置（包括临时道路的位置、结构等）必须无条件服从招标人的统一安排，如其他标段需要使用，必须无条件提供使用，使用过程中的维修保养，由该标段承包人负责，同时必须确保通畅，全天候保持完好。</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各标段必须安排专人，对标段内的原有道路、临时道路进行保洁，确保道路无扬尘，无任何通行过程中的安全隐患。</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承包人如未能按照招标人要求实施到位，发包人有权要求其他标段的施工单位抽调人员、机械等进行维护，所需费用均由该标段承包人承担且不持异议。</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（18-2）工程实施过程中如接到市民投诉或通过城建热线、市民热线反应的施工中存在的问题，经查实的，每有一次给予罚款2000—5000元，当场缴纳。</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18-3）工地例会确定的事项，承包人必须按时完成，如未能按时完成且为发包人不能接受的原因，每有一次扣罚1000元。市质监站、安监站、城建重点工程指挥部及有关领导巡查工地时指出需要整改的问题必须及时完成，否则每次扣罚1000元。</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（19）合同签订后一周内，承包人必须有针对性地编写施工组织设计，并报监理、招标人审查。</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（20）有关施工的相关要求如下：</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20-1）所用砼原则上要求采用商品混凝土，承包人也可在场外自建拌合楼，各承包人在确保工程质量、工期、工地文明施工要求的情况下自行考虑。如承包人用自拌混凝土须建拌和楼，则拌合楼的投入使用必须取得相关部门的认可，生产过程必须无条件接受质监站、发包人及监理单位的监督和检查，并且拌合楼的建设过程不占用工期，相关费用自行考虑后列入其他项目清单。为加强混凝土的质量和控制，提高混凝土的抗碳化能力和耐久性，确保混凝土结构物的强度和安全。工程中如用商品砼，其供应厂商必须获得发包人及监理单位认可。</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（20-2）安全文明施工：</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1）工程施工时，务必要把安全放在首位，实行施工现场标准化管理。</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2）施工过程中，经常有领导视察现场，承包人需把相关现场文明措施费用综合考虑在报价中。</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3）要求施工现场全线全封闭施工，与外界联结道口及施工场地维护设置隔离护栏，参照文明施工要求统一采用全新夹芯彩钢板护栏，颜色由招标人统一指定，高度符合市文明工地要求，并考虑维护、保洁、照明及安全标示及公告牌，所涉及的一切费用列入工程报价中，工程结算时不予调整。</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现场出入口、作业区、生活区、主干道（包括场外临时通道）均需砼硬化，道路的强度、厚度、宽度须满足安全通行以及卫生保洁的要求。</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设专职保洁员负责车辆和进出道路的冲洗、清扫工作，出入口设置车辆冲洗池，配备高压冲洗设备，确保上路车辆、车轮、车身不带泥，冲洗池四周设置排水沟和污泥沉淀池。</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施工区域内的长期堆土（超过48个小时）应采取绿化或网膜覆盖等措施加以规范改善。施工区域出入口要求设置值班房，并派专人值班和安保。</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4）临时交通标志：为保证工程施工期间的交通安全，须在道路端头和交叉口处放置醒目的标准交通警示标志，承包人须委托专业单位制作安装并及时更换施工过程中损坏的标志。临时交通标志设置的位置、数量必须无条件服从发包人的要求。</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5）临时设施：所有临时设施的设置，均需达到市标化工地的要求。</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现场生活区和办公区如采用活动板房搭设的，须严格执行《建设工程施工现场消防安全技术规范》以及南通市建设安全生产监督站《关于加强建设工程施工现场活动板房安全管理的通知》（通建安监[2011]17号）等规定，其中板材及顶棚的夹芯材料必须全部采用不燃材料，并送检测机构进行燃烧性能检测，达到不燃级别方可使用。该材料的检测由承包人自行委托，费用自行考虑，不另行计费。生活区人均面积不得低于3平方米/人，底层房间地坪必须用混凝土或水泥砂浆硬化，房间必须满足通风和采光需要，配备专门的食堂、冲水式厕所和洗浴间及相应设备，并须指派专人负责卫生，垃圾必须集中处理。以上各项措施必须满足政府有关的卫生防疫要求以及安全文明工地中对工人宿舍的要求。</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6）进入现场人员必须戴好安全帽、统一着装。现场应按要求设置各种安全标志牌。现场的机具设备一律应设安全防护罩。</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7）做好场容场貌管理工作，建筑材料按区域整齐堆放，施工区域内做到“工完料尽场地清”。</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8）作业环境强调落手清，建筑垃圾及时归堆及外运，物料堆放要整齐，不乱倒生活垃圾。</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9）现场施工，须采取可靠必要的成品保护施工措施，对自身成品、周边绿化及其他成品进行保护。</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10）外部道路保洁：承包人须负责材料运输通道及相关道路的保洁工作。不得在沥青路面上拌和砂浆、混凝土，进出工地的材料运输车辆不得发生抛洒滴漏等现象。如发生污染道路现象，招标人将向中标人收取违约金10000元/次。中标人需先做好道路交通指示、及道路封闭公示牌，并申报交警等相关部门同意。原老路面拆除、外运及清理工作由承包人自理。</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11）运输车辆：为保证已建道路设施，在工程施工期间，承包人使用的土方及建材运输车辆的载重吨位须满足交通管理部门的规定并遵照有关规定办理交通运输许可证。严禁使用无牌无证社会车辆。如由此造成影响导致发包人声誉受损，发包人将向承包人收取违约金10000元/次。</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12）与原老管线单位协调与管线保护：由于部分施工路段连接周边地块（包括农业地块），已投入运行老管线较多，且分布较乱，部分管线如保护不当易发生安全事故，如供电、电信、燃气、自来水等情况的，承包人须派专人开展管线调查、协调迁移等工作，并负责管线安全。施工时由承包人通知相关管线产权单位派人进行监护施工。</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13）地方协调：工程实施期间，承包人须派专人协助发包人开展地方协调、拆迁等工作，严禁租用或购买当地村民的房屋作为施工临时设施。非施工红线范围内如有线路、绿化迁移、拆迁等及相关赔偿由中标人自行处理。</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14）承包人在工程竣工后，要负责完成工程产品及施工区域的清理工作，达到交付使用要求。</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15）施工期间要求承包人执行《南通市市区扬尘污染防治管理办法》（通政规〔2013〕2号）、《建筑工地扬尘防治标准》（DGJ32/J203-2016），并编制专项施工组织设计，经发包人、监理认可后施工。</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16)本工程将严格执行《关于进一步加强政府性投资工程项目现场安全文明施工措施费管理的通知》（皋政发〔2016〕85号）、《关于进一步加强对安全文明施工措施费动态管理的通知》皋建发〔2021〕15号等文件规定。</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20-3）在其它道路及交叉口设置过境车辆及人员提前分流指示牌、交通设施的数量和位置，承包人应委托专业单位制作安装并及时更换施工过程中损坏的标志，同时须无条件服从发包人和如皋市交巡警支队的各项要求。所涉及的一切费用列入合同价中（请自行考虑回收残值）。</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（20-4）工程施工产生的垃圾、杂土处置、弃土及其它废弃物须按规定处置，由此引发的所有费用均列入报价，一次性包干，结算时不另行增加费用。</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20-5）施工期间原则上为全线封闭施工，但局部慢车道需根据现场情况部分开放，以供周边老百姓出行。承包人应增加相应临时交通标识，并安排专人管理，严禁重载社会车辆在已形成的慢车道上通行。若慢车道因此损坏，由承包人自行负责按原设计标准恢复。请各投标单位综合考虑相关费用，列入工程报价中，结算时不予调整。</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（21）扬尘污染防治应充分考虑本工程各项费用风险，周密调研。</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（22）承包人应考虑施工道路范围内的工厂、单位、住户、车辆、行人的安全、便利出行所采取的措施，费用列入合同价。</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（23）承包人应综合考虑施工机械设备、材料进出场、二次搬运等涉及所有费用，结算时不做调整。</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（24）承包人应考虑临时施工便道、管道二次驳运等措施费用，结算时不做调整。</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（25）承包人应考虑竣工验收后，提供纸质及电子版的竣工图的费用，结算时不做调整。</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（26）承包人应考虑调水措施的费用（包含措施方案的编制），结算时不做调整。</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（27）承包人不得拒绝完成发包人在施工地点范围内变更或要求增加和减少的工程内容。</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28）由于新型冠状肺炎疫情的影响，承包人应增强风险防范意识，并按《南通市住房和城乡建设局关于印发&lt;南通市新冠肺炎疫情后建设工程施工合同履约及工程价款调整的指导意见&gt;的通知》（通住建市【2020】78号）执行。</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（29）由于新型冠状肺炎疫情的影响，因卫生防疫要求采取的措施、物资等一切费用包含在合同价中，结算时不予调整。</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（30）考虑施工工期紧迫且含抢险抢修，承包人应充分考虑赶工措施项目增加费，如周转材料增加费、夜间施工增加费、雨季施工增加费、不同专业交叉作业增加费等。</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（31）施工用水、用电、场地费用。</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（32）管道开挖时，需采用合适的支护措施进行支护，以确保安全的费用。</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（33）服务要求：</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施工协作单位需拥有充足的机械、人工及技术等施工力量。考虑到施工内容为小区、道路给水管网施工、设施改造、维修、抢修，要求施工协作单位需满足以下5个条件：</w:t>
      </w:r>
      <w:r>
        <w:rPr>
          <w:rStyle w:val="32"/>
          <w:rFonts w:hint="eastAsia" w:ascii="宋体" w:hAnsi="宋体" w:cs="宋体"/>
          <w:color w:val="auto"/>
          <w:sz w:val="24"/>
          <w:highlight w:val="none"/>
        </w:rPr>
        <w:t>①</w:t>
      </w:r>
      <w:r>
        <w:rPr>
          <w:rStyle w:val="32"/>
          <w:rFonts w:cs="Times New Roman"/>
          <w:color w:val="auto"/>
          <w:sz w:val="24"/>
          <w:highlight w:val="none"/>
        </w:rPr>
        <w:t>具有较强指挥协调能力；</w:t>
      </w:r>
      <w:r>
        <w:rPr>
          <w:rStyle w:val="32"/>
          <w:rFonts w:hint="eastAsia" w:ascii="宋体" w:hAnsi="宋体" w:cs="宋体"/>
          <w:color w:val="auto"/>
          <w:sz w:val="24"/>
          <w:highlight w:val="none"/>
        </w:rPr>
        <w:t>②</w:t>
      </w:r>
      <w:r>
        <w:rPr>
          <w:rStyle w:val="32"/>
          <w:rFonts w:cs="Times New Roman"/>
          <w:color w:val="auto"/>
          <w:sz w:val="24"/>
          <w:highlight w:val="none"/>
        </w:rPr>
        <w:t>二十四小时内能够随叫随到，人员、设备、维修器械及时达到现场进行抢修；</w:t>
      </w:r>
      <w:r>
        <w:rPr>
          <w:rStyle w:val="32"/>
          <w:rFonts w:hint="eastAsia" w:ascii="宋体" w:hAnsi="宋体" w:cs="宋体"/>
          <w:color w:val="auto"/>
          <w:sz w:val="24"/>
          <w:highlight w:val="none"/>
        </w:rPr>
        <w:t>③</w:t>
      </w:r>
      <w:r>
        <w:rPr>
          <w:rStyle w:val="32"/>
          <w:rFonts w:cs="Times New Roman"/>
          <w:color w:val="auto"/>
          <w:sz w:val="24"/>
          <w:highlight w:val="none"/>
        </w:rPr>
        <w:t>熟悉小区、道路管线施工流程；</w:t>
      </w:r>
      <w:r>
        <w:rPr>
          <w:rStyle w:val="32"/>
          <w:rFonts w:hint="eastAsia" w:ascii="宋体" w:hAnsi="宋体" w:cs="宋体"/>
          <w:color w:val="auto"/>
          <w:sz w:val="24"/>
          <w:highlight w:val="none"/>
        </w:rPr>
        <w:t>④</w:t>
      </w:r>
      <w:r>
        <w:rPr>
          <w:rStyle w:val="32"/>
          <w:rFonts w:cs="Times New Roman"/>
          <w:color w:val="auto"/>
          <w:sz w:val="24"/>
          <w:highlight w:val="none"/>
        </w:rPr>
        <w:t>熟悉地下管线施工流程；</w:t>
      </w:r>
      <w:r>
        <w:rPr>
          <w:rStyle w:val="32"/>
          <w:rFonts w:hint="eastAsia" w:ascii="宋体" w:hAnsi="宋体" w:cs="宋体"/>
          <w:color w:val="auto"/>
          <w:sz w:val="24"/>
          <w:highlight w:val="none"/>
        </w:rPr>
        <w:t>⑤</w:t>
      </w:r>
      <w:r>
        <w:rPr>
          <w:rStyle w:val="32"/>
          <w:rFonts w:cs="Times New Roman"/>
          <w:color w:val="auto"/>
          <w:sz w:val="24"/>
          <w:highlight w:val="none"/>
        </w:rPr>
        <w:t>无不良记录，具有良好的服务意识，善于与用户沟通。</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（34）农民工工资制度按照《如皋市工程建设领域农民工工资专用账户管理办法（试行）》、《如皋市建筑业企业缴纳农民工工资保证金动态考核实施细则》及省、南通市相关文件执行。</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（35）在施工过程中，如因承包人原因导致无法胜任本工程的施工，则除履约保证金不予退还外，结算时已完合格工程按60%计算，还应承担赔偿发包人损失的责任。</w:t>
      </w:r>
    </w:p>
    <w:p>
      <w:pPr>
        <w:adjustRightInd w:val="0"/>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（36)施工过程中可能存在部分材料须至发包人指定地点领取，所需装卸、运输费由承包人报价时综合考虑在合同价中。</w:t>
      </w:r>
    </w:p>
    <w:p>
      <w:pPr>
        <w:adjustRightInd w:val="0"/>
        <w:snapToGrid w:val="0"/>
        <w:spacing w:line="360" w:lineRule="auto"/>
        <w:ind w:firstLine="480" w:firstLineChars="200"/>
        <w:rPr>
          <w:rStyle w:val="32"/>
          <w:rFonts w:cs="Times New Roman"/>
          <w:color w:val="auto"/>
          <w:sz w:val="24"/>
          <w:szCs w:val="24"/>
          <w:highlight w:val="none"/>
        </w:rPr>
      </w:pPr>
      <w:r>
        <w:rPr>
          <w:rStyle w:val="32"/>
          <w:rFonts w:hint="eastAsia" w:cs="Times New Roman"/>
          <w:color w:val="auto"/>
          <w:sz w:val="24"/>
          <w:szCs w:val="24"/>
          <w:highlight w:val="none"/>
        </w:rPr>
        <w:t>三</w:t>
      </w:r>
      <w:r>
        <w:rPr>
          <w:rStyle w:val="32"/>
          <w:rFonts w:cs="Times New Roman"/>
          <w:color w:val="auto"/>
          <w:sz w:val="24"/>
          <w:szCs w:val="24"/>
          <w:highlight w:val="none"/>
        </w:rPr>
        <w:t xml:space="preserve">、招标控制价：不满足报价承诺的均为无效报价，其投标文件作废标处理。 </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四、质量要求：一次性验收合格</w:t>
      </w:r>
    </w:p>
    <w:p>
      <w:pPr>
        <w:adjustRightInd w:val="0"/>
        <w:snapToGrid w:val="0"/>
        <w:spacing w:line="360" w:lineRule="auto"/>
        <w:ind w:firstLine="480" w:firstLineChars="200"/>
        <w:rPr>
          <w:rStyle w:val="32"/>
          <w:rFonts w:cs="Times New Roman"/>
          <w:color w:val="auto"/>
          <w:sz w:val="24"/>
          <w:szCs w:val="24"/>
          <w:highlight w:val="none"/>
        </w:rPr>
      </w:pPr>
      <w:r>
        <w:rPr>
          <w:rStyle w:val="32"/>
          <w:rFonts w:hint="eastAsia" w:cs="Times New Roman"/>
          <w:color w:val="auto"/>
          <w:sz w:val="24"/>
          <w:szCs w:val="24"/>
          <w:highlight w:val="none"/>
        </w:rPr>
        <w:t>五</w:t>
      </w:r>
      <w:r>
        <w:rPr>
          <w:rStyle w:val="32"/>
          <w:rFonts w:cs="Times New Roman"/>
          <w:color w:val="auto"/>
          <w:sz w:val="24"/>
          <w:szCs w:val="24"/>
          <w:highlight w:val="none"/>
        </w:rPr>
        <w:t>、项目入库单位数量的确定</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1、每个标段总得分大于等于70分的单位均入围；</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2、入库单位少于7家时，招标人有权增选入库单位。</w:t>
      </w:r>
    </w:p>
    <w:p>
      <w:pPr>
        <w:adjustRightInd w:val="0"/>
        <w:snapToGrid w:val="0"/>
        <w:spacing w:line="360" w:lineRule="auto"/>
        <w:ind w:firstLine="480" w:firstLineChars="200"/>
        <w:rPr>
          <w:rStyle w:val="32"/>
          <w:rFonts w:cs="Times New Roman"/>
          <w:color w:val="auto"/>
          <w:sz w:val="24"/>
          <w:szCs w:val="24"/>
          <w:highlight w:val="none"/>
        </w:rPr>
      </w:pPr>
      <w:r>
        <w:rPr>
          <w:rStyle w:val="32"/>
          <w:rFonts w:hint="eastAsia" w:cs="Times New Roman"/>
          <w:color w:val="auto"/>
          <w:sz w:val="24"/>
          <w:szCs w:val="24"/>
          <w:highlight w:val="none"/>
        </w:rPr>
        <w:t>六</w:t>
      </w:r>
      <w:r>
        <w:rPr>
          <w:rStyle w:val="32"/>
          <w:rFonts w:cs="Times New Roman"/>
          <w:color w:val="auto"/>
          <w:sz w:val="24"/>
          <w:szCs w:val="24"/>
          <w:highlight w:val="none"/>
        </w:rPr>
        <w:t>、招标人及其下属子公司作为施工项目的发包人，从各对应专业的入库单位中邀请不少于3家单位通过邀请招标、竞争性磋商、竞争性谈判、询价等方式确定拟发包施工项目的施工单位。</w:t>
      </w:r>
    </w:p>
    <w:p>
      <w:pPr>
        <w:adjustRightInd w:val="0"/>
        <w:snapToGrid w:val="0"/>
        <w:spacing w:line="360" w:lineRule="auto"/>
        <w:ind w:firstLine="480" w:firstLineChars="200"/>
        <w:rPr>
          <w:rStyle w:val="32"/>
          <w:rFonts w:cs="Times New Roman"/>
          <w:color w:val="auto"/>
          <w:sz w:val="24"/>
          <w:szCs w:val="24"/>
          <w:highlight w:val="none"/>
        </w:rPr>
      </w:pPr>
      <w:r>
        <w:rPr>
          <w:rStyle w:val="32"/>
          <w:rFonts w:hint="eastAsia" w:cs="Times New Roman"/>
          <w:color w:val="auto"/>
          <w:sz w:val="24"/>
          <w:szCs w:val="24"/>
          <w:highlight w:val="none"/>
        </w:rPr>
        <w:t>七</w:t>
      </w:r>
      <w:r>
        <w:rPr>
          <w:rStyle w:val="32"/>
          <w:rFonts w:cs="Times New Roman"/>
          <w:color w:val="auto"/>
          <w:sz w:val="24"/>
          <w:szCs w:val="24"/>
          <w:highlight w:val="none"/>
        </w:rPr>
        <w:t>、项目实施过程中发现转包、或项目完成质量差、工期严重延误的或无法满足应急抢险的，招标人将有权取消合同。</w:t>
      </w:r>
    </w:p>
    <w:p>
      <w:pPr>
        <w:pStyle w:val="21"/>
        <w:adjustRightInd w:val="0"/>
        <w:snapToGrid w:val="0"/>
        <w:spacing w:line="360" w:lineRule="auto"/>
        <w:ind w:firstLine="480" w:firstLineChars="200"/>
        <w:rPr>
          <w:rStyle w:val="32"/>
          <w:rFonts w:ascii="Times New Roman" w:hAnsi="Times New Roman" w:eastAsia="宋体" w:cs="Times New Roman"/>
          <w:color w:val="auto"/>
          <w:sz w:val="24"/>
          <w:szCs w:val="24"/>
          <w:highlight w:val="none"/>
        </w:rPr>
      </w:pPr>
      <w:r>
        <w:rPr>
          <w:rStyle w:val="32"/>
          <w:rFonts w:hint="eastAsia" w:ascii="Times New Roman" w:hAnsi="Times New Roman" w:eastAsia="宋体" w:cs="Times New Roman"/>
          <w:color w:val="auto"/>
          <w:sz w:val="24"/>
          <w:szCs w:val="24"/>
          <w:highlight w:val="none"/>
        </w:rPr>
        <w:t>八</w:t>
      </w:r>
      <w:r>
        <w:rPr>
          <w:rStyle w:val="32"/>
          <w:rFonts w:ascii="Times New Roman" w:hAnsi="Times New Roman" w:eastAsia="宋体" w:cs="Times New Roman"/>
          <w:color w:val="auto"/>
          <w:sz w:val="24"/>
          <w:szCs w:val="24"/>
          <w:highlight w:val="none"/>
        </w:rPr>
        <w:t>、本项目将对入库单位进行履约考核，入库单位需严格遵守考核办法相关细则实施，具体考核办法见招标文件附件《供应商名录库管理办法》</w:t>
      </w:r>
      <w:r>
        <w:rPr>
          <w:rStyle w:val="32"/>
          <w:rFonts w:hint="eastAsia" w:ascii="Times New Roman" w:hAnsi="Times New Roman" w:eastAsia="宋体" w:cs="Times New Roman"/>
          <w:color w:val="auto"/>
          <w:sz w:val="24"/>
          <w:szCs w:val="24"/>
          <w:highlight w:val="none"/>
          <w:lang w:eastAsia="zh-CN"/>
        </w:rPr>
        <w:t>（</w:t>
      </w:r>
      <w:r>
        <w:rPr>
          <w:rStyle w:val="32"/>
          <w:rFonts w:hint="eastAsia" w:ascii="Times New Roman" w:hAnsi="Times New Roman" w:eastAsia="宋体" w:cs="Times New Roman"/>
          <w:color w:val="auto"/>
          <w:sz w:val="24"/>
          <w:szCs w:val="24"/>
          <w:highlight w:val="none"/>
          <w:lang w:val="en-US" w:eastAsia="zh-CN"/>
        </w:rPr>
        <w:t>试行</w:t>
      </w:r>
      <w:r>
        <w:rPr>
          <w:rStyle w:val="32"/>
          <w:rFonts w:hint="eastAsia" w:ascii="Times New Roman" w:hAnsi="Times New Roman" w:eastAsia="宋体" w:cs="Times New Roman"/>
          <w:color w:val="auto"/>
          <w:sz w:val="24"/>
          <w:szCs w:val="24"/>
          <w:highlight w:val="none"/>
          <w:lang w:eastAsia="zh-CN"/>
        </w:rPr>
        <w:t>）</w:t>
      </w:r>
      <w:r>
        <w:rPr>
          <w:rStyle w:val="32"/>
          <w:rFonts w:ascii="Times New Roman" w:hAnsi="Times New Roman" w:eastAsia="宋体" w:cs="Times New Roman"/>
          <w:color w:val="auto"/>
          <w:sz w:val="24"/>
          <w:szCs w:val="24"/>
          <w:highlight w:val="none"/>
        </w:rPr>
        <w:t>。</w:t>
      </w:r>
    </w:p>
    <w:p>
      <w:pPr>
        <w:adjustRightInd w:val="0"/>
        <w:snapToGrid w:val="0"/>
        <w:spacing w:line="360" w:lineRule="auto"/>
        <w:ind w:firstLine="480" w:firstLineChars="200"/>
        <w:rPr>
          <w:rStyle w:val="32"/>
          <w:rFonts w:cs="Times New Roman"/>
          <w:color w:val="auto"/>
          <w:sz w:val="24"/>
          <w:szCs w:val="24"/>
          <w:highlight w:val="none"/>
        </w:rPr>
      </w:pPr>
    </w:p>
    <w:p>
      <w:pPr>
        <w:pStyle w:val="21"/>
        <w:adjustRightInd w:val="0"/>
        <w:snapToGrid w:val="0"/>
        <w:spacing w:line="360" w:lineRule="auto"/>
        <w:ind w:firstLine="200"/>
        <w:rPr>
          <w:rStyle w:val="32"/>
          <w:rFonts w:ascii="Times New Roman" w:hAnsi="Times New Roman" w:cs="Times New Roman"/>
          <w:color w:val="auto"/>
          <w:highlight w:val="none"/>
        </w:rPr>
      </w:pPr>
    </w:p>
    <w:p>
      <w:pPr>
        <w:snapToGrid w:val="0"/>
        <w:rPr>
          <w:rStyle w:val="32"/>
          <w:rFonts w:cs="Times New Roman"/>
          <w:color w:val="auto"/>
          <w:sz w:val="20"/>
          <w:highlight w:val="none"/>
        </w:rPr>
      </w:pPr>
    </w:p>
    <w:p>
      <w:pPr>
        <w:pStyle w:val="21"/>
        <w:snapToGrid w:val="0"/>
        <w:rPr>
          <w:rStyle w:val="32"/>
          <w:rFonts w:ascii="Times New Roman" w:hAnsi="Times New Roman" w:cs="Times New Roman"/>
          <w:color w:val="auto"/>
          <w:highlight w:val="none"/>
        </w:rPr>
      </w:pPr>
    </w:p>
    <w:p>
      <w:pPr>
        <w:snapToGrid w:val="0"/>
        <w:rPr>
          <w:rStyle w:val="32"/>
          <w:rFonts w:cs="Times New Roman"/>
          <w:color w:val="auto"/>
          <w:sz w:val="20"/>
          <w:highlight w:val="none"/>
        </w:rPr>
      </w:pPr>
    </w:p>
    <w:p>
      <w:pPr>
        <w:pStyle w:val="21"/>
        <w:snapToGrid w:val="0"/>
        <w:rPr>
          <w:rFonts w:ascii="Times New Roman" w:hAnsi="Times New Roman" w:cs="Times New Roman"/>
          <w:color w:val="auto"/>
          <w:highlight w:val="none"/>
        </w:rPr>
      </w:pPr>
    </w:p>
    <w:p>
      <w:pPr>
        <w:snapToGrid w:val="0"/>
        <w:rPr>
          <w:rFonts w:cs="Times New Roman"/>
          <w:color w:val="auto"/>
          <w:sz w:val="20"/>
          <w:highlight w:val="none"/>
        </w:rPr>
      </w:pPr>
    </w:p>
    <w:p>
      <w:pPr>
        <w:pStyle w:val="21"/>
        <w:snapToGrid w:val="0"/>
        <w:rPr>
          <w:rFonts w:ascii="Times New Roman" w:hAnsi="Times New Roman" w:cs="Times New Roman"/>
          <w:color w:val="auto"/>
          <w:highlight w:val="none"/>
        </w:rPr>
      </w:pPr>
    </w:p>
    <w:p>
      <w:pPr>
        <w:snapToGrid w:val="0"/>
        <w:rPr>
          <w:rStyle w:val="32"/>
          <w:rFonts w:cs="Times New Roman"/>
          <w:color w:val="auto"/>
          <w:sz w:val="20"/>
          <w:highlight w:val="none"/>
        </w:rPr>
      </w:pPr>
    </w:p>
    <w:p>
      <w:pPr>
        <w:snapToGrid w:val="0"/>
        <w:spacing w:line="360" w:lineRule="auto"/>
        <w:jc w:val="center"/>
        <w:rPr>
          <w:rStyle w:val="32"/>
          <w:rFonts w:eastAsia="黑体" w:cs="Times New Roman"/>
          <w:bCs/>
          <w:color w:val="auto"/>
          <w:sz w:val="44"/>
          <w:highlight w:val="none"/>
        </w:rPr>
      </w:pPr>
      <w:r>
        <w:rPr>
          <w:rStyle w:val="32"/>
          <w:rFonts w:eastAsia="黑体" w:cs="Times New Roman"/>
          <w:bCs/>
          <w:color w:val="auto"/>
          <w:sz w:val="44"/>
          <w:highlight w:val="none"/>
        </w:rPr>
        <w:br w:type="page"/>
      </w:r>
      <w:r>
        <w:rPr>
          <w:rStyle w:val="32"/>
          <w:rFonts w:eastAsia="黑体" w:cs="Times New Roman"/>
          <w:bCs/>
          <w:color w:val="auto"/>
          <w:sz w:val="44"/>
          <w:highlight w:val="none"/>
        </w:rPr>
        <w:t>第四章  开标与评标</w:t>
      </w:r>
    </w:p>
    <w:p>
      <w:pPr>
        <w:snapToGrid w:val="0"/>
        <w:spacing w:line="360" w:lineRule="auto"/>
        <w:ind w:firstLine="482" w:firstLineChars="200"/>
        <w:rPr>
          <w:rStyle w:val="32"/>
          <w:rFonts w:cs="Times New Roman"/>
          <w:b/>
          <w:color w:val="auto"/>
          <w:sz w:val="24"/>
          <w:highlight w:val="none"/>
        </w:rPr>
      </w:pPr>
      <w:r>
        <w:rPr>
          <w:rStyle w:val="32"/>
          <w:rFonts w:cs="Times New Roman"/>
          <w:b/>
          <w:color w:val="auto"/>
          <w:sz w:val="24"/>
          <w:highlight w:val="none"/>
        </w:rPr>
        <w:t>一、评标小组组成</w:t>
      </w:r>
    </w:p>
    <w:p>
      <w:pPr>
        <w:snapToGrid w:val="0"/>
        <w:spacing w:line="360" w:lineRule="auto"/>
        <w:ind w:firstLine="480" w:firstLineChars="200"/>
        <w:rPr>
          <w:rStyle w:val="32"/>
          <w:rFonts w:cs="Times New Roman"/>
          <w:bCs/>
          <w:color w:val="auto"/>
          <w:sz w:val="24"/>
          <w:highlight w:val="none"/>
        </w:rPr>
      </w:pPr>
      <w:r>
        <w:rPr>
          <w:rStyle w:val="32"/>
          <w:rFonts w:cs="Times New Roman"/>
          <w:bCs/>
          <w:color w:val="auto"/>
          <w:sz w:val="24"/>
          <w:highlight w:val="none"/>
        </w:rPr>
        <w:t>1、招标人依法成立评标委员会，成员人数为5人或以上单数。</w:t>
      </w:r>
    </w:p>
    <w:p>
      <w:pPr>
        <w:snapToGrid w:val="0"/>
        <w:spacing w:line="360" w:lineRule="auto"/>
        <w:ind w:firstLine="480" w:firstLineChars="200"/>
        <w:rPr>
          <w:rStyle w:val="32"/>
          <w:rFonts w:cs="Times New Roman"/>
          <w:bCs/>
          <w:color w:val="auto"/>
          <w:sz w:val="24"/>
          <w:highlight w:val="none"/>
        </w:rPr>
      </w:pPr>
      <w:r>
        <w:rPr>
          <w:rStyle w:val="32"/>
          <w:rFonts w:cs="Times New Roman"/>
          <w:bCs/>
          <w:color w:val="auto"/>
          <w:sz w:val="24"/>
          <w:highlight w:val="none"/>
        </w:rPr>
        <w:t>2、供应商的法定代表人或被委托授权人须持身份证准时参加开标会。</w:t>
      </w:r>
    </w:p>
    <w:p>
      <w:pPr>
        <w:snapToGrid w:val="0"/>
        <w:spacing w:line="360" w:lineRule="auto"/>
        <w:ind w:firstLine="482" w:firstLineChars="200"/>
        <w:rPr>
          <w:rStyle w:val="32"/>
          <w:rFonts w:cs="Times New Roman"/>
          <w:b/>
          <w:color w:val="auto"/>
          <w:sz w:val="24"/>
          <w:highlight w:val="none"/>
        </w:rPr>
      </w:pPr>
      <w:r>
        <w:rPr>
          <w:rStyle w:val="32"/>
          <w:rFonts w:cs="Times New Roman"/>
          <w:b/>
          <w:color w:val="auto"/>
          <w:sz w:val="24"/>
          <w:highlight w:val="none"/>
        </w:rPr>
        <w:t>二、评委会由有关专家和招标人代表组成，按照公平、公正、择优的原则进行独立评标。</w:t>
      </w:r>
    </w:p>
    <w:p>
      <w:pPr>
        <w:snapToGrid w:val="0"/>
        <w:spacing w:line="360" w:lineRule="auto"/>
        <w:ind w:firstLine="482" w:firstLineChars="200"/>
        <w:rPr>
          <w:rStyle w:val="32"/>
          <w:rFonts w:cs="Times New Roman"/>
          <w:b/>
          <w:color w:val="auto"/>
          <w:sz w:val="24"/>
          <w:highlight w:val="none"/>
        </w:rPr>
      </w:pPr>
      <w:r>
        <w:rPr>
          <w:rStyle w:val="32"/>
          <w:rFonts w:cs="Times New Roman"/>
          <w:b/>
          <w:color w:val="auto"/>
          <w:sz w:val="24"/>
          <w:highlight w:val="none"/>
        </w:rPr>
        <w:t>三、资格审查、质询、澄清</w:t>
      </w:r>
    </w:p>
    <w:p>
      <w:pPr>
        <w:snapToGrid w:val="0"/>
        <w:spacing w:line="360" w:lineRule="auto"/>
        <w:ind w:firstLine="439" w:firstLineChars="183"/>
        <w:rPr>
          <w:rStyle w:val="32"/>
          <w:rFonts w:cs="Times New Roman"/>
          <w:color w:val="auto"/>
          <w:sz w:val="24"/>
          <w:highlight w:val="none"/>
        </w:rPr>
      </w:pPr>
      <w:r>
        <w:rPr>
          <w:rStyle w:val="32"/>
          <w:rFonts w:cs="Times New Roman"/>
          <w:color w:val="auto"/>
          <w:sz w:val="24"/>
          <w:highlight w:val="none"/>
        </w:rPr>
        <w:t>由评标委员会对投标人的资格进行审查，对未通过审查的供应商，应现场告知原因。评委会对合格供应商的投标文件进行评审。</w:t>
      </w:r>
    </w:p>
    <w:p>
      <w:pPr>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重要质询、澄清答复应是书面的，但投标人的澄清不得对投标内容进行实质性修改。</w:t>
      </w:r>
    </w:p>
    <w:p>
      <w:pPr>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评标期间，评标委员会不接受投标人的主动澄清。</w:t>
      </w:r>
    </w:p>
    <w:p>
      <w:pPr>
        <w:snapToGrid w:val="0"/>
        <w:spacing w:line="360" w:lineRule="auto"/>
        <w:ind w:firstLine="482" w:firstLineChars="200"/>
        <w:rPr>
          <w:rStyle w:val="32"/>
          <w:rFonts w:cs="Times New Roman"/>
          <w:b/>
          <w:color w:val="auto"/>
          <w:sz w:val="24"/>
          <w:highlight w:val="none"/>
        </w:rPr>
      </w:pPr>
      <w:r>
        <w:rPr>
          <w:rStyle w:val="32"/>
          <w:rFonts w:cs="Times New Roman"/>
          <w:b/>
          <w:color w:val="auto"/>
          <w:sz w:val="24"/>
          <w:highlight w:val="none"/>
        </w:rPr>
        <w:t>四、出现下列情形之一的，作无效投标处理</w:t>
      </w:r>
      <w:r>
        <w:rPr>
          <w:rStyle w:val="32"/>
          <w:rFonts w:cs="Times New Roman"/>
          <w:b/>
          <w:color w:val="auto"/>
          <w:sz w:val="24"/>
          <w:highlight w:val="none"/>
        </w:rPr>
        <w:tab/>
      </w:r>
      <w:r>
        <w:rPr>
          <w:rStyle w:val="32"/>
          <w:rFonts w:cs="Times New Roman"/>
          <w:b/>
          <w:color w:val="auto"/>
          <w:sz w:val="24"/>
          <w:highlight w:val="none"/>
        </w:rPr>
        <w:tab/>
      </w:r>
    </w:p>
    <w:p>
      <w:pPr>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1、未按照招标文件的规定提交投标保证金的;</w:t>
      </w:r>
    </w:p>
    <w:p>
      <w:pPr>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2、未按照招标文件规定要求签署、盖章的；</w:t>
      </w:r>
    </w:p>
    <w:p>
      <w:pPr>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3、未完整上传投标文件电子文档的,或上传的文件打不开的；</w:t>
      </w:r>
    </w:p>
    <w:p>
      <w:pPr>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4、不具备招标文件中规定的资格要求的；</w:t>
      </w:r>
    </w:p>
    <w:p>
      <w:pPr>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5、报价超过招标文件中规定的预算金额或者最高限价的；</w:t>
      </w:r>
    </w:p>
    <w:p>
      <w:pPr>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6、投标文件含有招标人不能接受的附加条件的；</w:t>
      </w:r>
    </w:p>
    <w:p>
      <w:pPr>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7、不符合法律、法规和招标文件中规定的其他实质性要求的。</w:t>
      </w:r>
    </w:p>
    <w:p>
      <w:pPr>
        <w:snapToGrid w:val="0"/>
        <w:spacing w:line="360" w:lineRule="auto"/>
        <w:ind w:firstLine="482" w:firstLineChars="200"/>
        <w:rPr>
          <w:rStyle w:val="32"/>
          <w:rFonts w:cs="Times New Roman"/>
          <w:b/>
          <w:color w:val="auto"/>
          <w:sz w:val="24"/>
          <w:highlight w:val="none"/>
        </w:rPr>
      </w:pPr>
      <w:r>
        <w:rPr>
          <w:rStyle w:val="32"/>
          <w:rFonts w:cs="Times New Roman"/>
          <w:b/>
          <w:color w:val="auto"/>
          <w:sz w:val="24"/>
          <w:highlight w:val="none"/>
        </w:rPr>
        <w:t>五、出现下列情形之一的，作废标处理</w:t>
      </w:r>
    </w:p>
    <w:p>
      <w:pPr>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1、符合专业条件的投标人或者对招标文件作实质响应的投标人不足3家的；</w:t>
      </w:r>
    </w:p>
    <w:p>
      <w:pPr>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2、出现影响采购公正的违法违规行为的；</w:t>
      </w:r>
    </w:p>
    <w:p>
      <w:pPr>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3、投标人的报价均超过了采购预算，招标人不能支付的；</w:t>
      </w:r>
    </w:p>
    <w:p>
      <w:pPr>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4、因重大变故，采购任务取消的。</w:t>
      </w:r>
    </w:p>
    <w:p>
      <w:pPr>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上述均保留评委会认定可以确定为无效投标或废标的其他情况。</w:t>
      </w:r>
    </w:p>
    <w:p>
      <w:pPr>
        <w:snapToGrid w:val="0"/>
        <w:spacing w:line="360" w:lineRule="auto"/>
        <w:ind w:firstLine="482" w:firstLineChars="200"/>
        <w:rPr>
          <w:rStyle w:val="32"/>
          <w:rFonts w:cs="Times New Roman"/>
          <w:b/>
          <w:color w:val="auto"/>
          <w:sz w:val="24"/>
          <w:highlight w:val="none"/>
        </w:rPr>
      </w:pPr>
      <w:r>
        <w:rPr>
          <w:rStyle w:val="32"/>
          <w:rFonts w:cs="Times New Roman"/>
          <w:b/>
          <w:color w:val="auto"/>
          <w:sz w:val="24"/>
          <w:highlight w:val="none"/>
        </w:rPr>
        <w:t>六、重新招标的情形</w:t>
      </w:r>
    </w:p>
    <w:p>
      <w:pPr>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投标截止时间出现：参加投标的供应商不足3家的，及评标中出现符合专业条件的供应商或对招标文件作实质响应的投标人不足3家情形时，该标段将重新招标。本次招标文件中对供应商资质、技术等要求，将作为二次招标的基本要求和依据。</w:t>
      </w:r>
    </w:p>
    <w:p>
      <w:pPr>
        <w:snapToGrid w:val="0"/>
        <w:spacing w:line="360" w:lineRule="auto"/>
        <w:ind w:firstLine="482" w:firstLineChars="200"/>
        <w:rPr>
          <w:rStyle w:val="32"/>
          <w:rFonts w:cs="Times New Roman"/>
          <w:b/>
          <w:color w:val="auto"/>
          <w:sz w:val="24"/>
          <w:highlight w:val="none"/>
        </w:rPr>
      </w:pPr>
      <w:r>
        <w:rPr>
          <w:rStyle w:val="32"/>
          <w:rFonts w:cs="Times New Roman"/>
          <w:b/>
          <w:color w:val="auto"/>
          <w:sz w:val="24"/>
          <w:highlight w:val="none"/>
        </w:rPr>
        <w:t>七、评标方法（综合评分法）</w:t>
      </w:r>
    </w:p>
    <w:p>
      <w:pPr>
        <w:snapToGrid w:val="0"/>
        <w:spacing w:line="360" w:lineRule="auto"/>
        <w:ind w:firstLine="482" w:firstLineChars="200"/>
        <w:jc w:val="left"/>
        <w:rPr>
          <w:rStyle w:val="32"/>
          <w:rFonts w:cs="Times New Roman"/>
          <w:color w:val="auto"/>
          <w:sz w:val="24"/>
          <w:szCs w:val="24"/>
          <w:highlight w:val="none"/>
        </w:rPr>
      </w:pPr>
      <w:r>
        <w:rPr>
          <w:rStyle w:val="32"/>
          <w:rFonts w:cs="Times New Roman"/>
          <w:b/>
          <w:bCs/>
          <w:color w:val="auto"/>
          <w:sz w:val="24"/>
          <w:szCs w:val="24"/>
          <w:highlight w:val="none"/>
        </w:rPr>
        <w:t>1、评标程序</w:t>
      </w:r>
    </w:p>
    <w:p>
      <w:pPr>
        <w:snapToGrid w:val="0"/>
        <w:spacing w:line="360" w:lineRule="auto"/>
        <w:ind w:firstLine="480" w:firstLineChars="200"/>
        <w:jc w:val="left"/>
        <w:rPr>
          <w:rStyle w:val="32"/>
          <w:rFonts w:cs="Times New Roman"/>
          <w:color w:val="auto"/>
          <w:sz w:val="24"/>
          <w:szCs w:val="24"/>
          <w:highlight w:val="none"/>
        </w:rPr>
      </w:pPr>
      <w:r>
        <w:rPr>
          <w:rStyle w:val="32"/>
          <w:rFonts w:cs="Times New Roman"/>
          <w:color w:val="auto"/>
          <w:sz w:val="24"/>
          <w:szCs w:val="24"/>
          <w:highlight w:val="none"/>
        </w:rPr>
        <w:t>资格审查→商务技术标评审→确定中标候选人。</w:t>
      </w:r>
    </w:p>
    <w:p>
      <w:pPr>
        <w:snapToGrid w:val="0"/>
        <w:spacing w:line="360" w:lineRule="auto"/>
        <w:ind w:firstLine="482" w:firstLineChars="200"/>
        <w:jc w:val="left"/>
        <w:rPr>
          <w:rStyle w:val="32"/>
          <w:rFonts w:cs="Times New Roman"/>
          <w:color w:val="auto"/>
          <w:sz w:val="24"/>
          <w:szCs w:val="24"/>
          <w:highlight w:val="none"/>
        </w:rPr>
      </w:pPr>
      <w:r>
        <w:rPr>
          <w:rStyle w:val="32"/>
          <w:rFonts w:cs="Times New Roman"/>
          <w:b/>
          <w:bCs/>
          <w:color w:val="auto"/>
          <w:sz w:val="24"/>
          <w:szCs w:val="24"/>
          <w:highlight w:val="none"/>
        </w:rPr>
        <w:t>2、投标人资格审查</w:t>
      </w:r>
    </w:p>
    <w:p>
      <w:pPr>
        <w:snapToGrid w:val="0"/>
        <w:spacing w:line="360" w:lineRule="auto"/>
        <w:ind w:firstLine="480" w:firstLineChars="200"/>
        <w:jc w:val="left"/>
        <w:rPr>
          <w:rStyle w:val="32"/>
          <w:rFonts w:cs="Times New Roman"/>
          <w:color w:val="auto"/>
          <w:sz w:val="24"/>
          <w:szCs w:val="24"/>
          <w:highlight w:val="none"/>
        </w:rPr>
      </w:pPr>
      <w:r>
        <w:rPr>
          <w:rStyle w:val="32"/>
          <w:rFonts w:cs="Times New Roman"/>
          <w:color w:val="auto"/>
          <w:sz w:val="24"/>
          <w:szCs w:val="24"/>
          <w:highlight w:val="none"/>
        </w:rPr>
        <w:t>由本工程评标委员会根据参加资格审查的投标人递交的资格证明文件，并按照下表所列《资格审查标准条件》对投标人的资格进行审查。只有通过资格审查的投标人，才能进入商务技术标评审。</w:t>
      </w:r>
    </w:p>
    <w:p>
      <w:pPr>
        <w:snapToGrid w:val="0"/>
        <w:spacing w:line="360" w:lineRule="auto"/>
        <w:ind w:firstLine="200"/>
        <w:jc w:val="center"/>
        <w:rPr>
          <w:rStyle w:val="32"/>
          <w:rFonts w:cs="Times New Roman"/>
          <w:color w:val="auto"/>
          <w:spacing w:val="-1"/>
          <w:sz w:val="24"/>
          <w:highlight w:val="none"/>
        </w:rPr>
      </w:pPr>
      <w:r>
        <w:rPr>
          <w:rStyle w:val="32"/>
          <w:rFonts w:cs="Times New Roman"/>
          <w:color w:val="auto"/>
          <w:spacing w:val="-1"/>
          <w:sz w:val="24"/>
          <w:highlight w:val="none"/>
        </w:rPr>
        <w:t>资格审查标准条件</w:t>
      </w:r>
    </w:p>
    <w:tbl>
      <w:tblPr>
        <w:tblStyle w:val="13"/>
        <w:tblW w:w="99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33"/>
        <w:gridCol w:w="4645"/>
        <w:gridCol w:w="2614"/>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Cs/>
                <w:color w:val="auto"/>
                <w:sz w:val="20"/>
                <w:szCs w:val="20"/>
                <w:highlight w:val="none"/>
              </w:rPr>
            </w:pPr>
            <w:r>
              <w:rPr>
                <w:rStyle w:val="32"/>
                <w:rFonts w:cs="Times New Roman"/>
                <w:bCs/>
                <w:color w:val="auto"/>
                <w:szCs w:val="20"/>
                <w:highlight w:val="none"/>
              </w:rPr>
              <w:t>序号</w:t>
            </w:r>
          </w:p>
        </w:tc>
        <w:tc>
          <w:tcPr>
            <w:tcW w:w="173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Cs/>
                <w:color w:val="auto"/>
                <w:sz w:val="20"/>
                <w:szCs w:val="20"/>
                <w:highlight w:val="none"/>
              </w:rPr>
            </w:pPr>
            <w:r>
              <w:rPr>
                <w:rStyle w:val="32"/>
                <w:rFonts w:cs="Times New Roman"/>
                <w:bCs/>
                <w:color w:val="auto"/>
                <w:szCs w:val="20"/>
                <w:highlight w:val="none"/>
              </w:rPr>
              <w:t>项目内容</w:t>
            </w:r>
          </w:p>
        </w:tc>
        <w:tc>
          <w:tcPr>
            <w:tcW w:w="464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Cs/>
                <w:color w:val="auto"/>
                <w:sz w:val="20"/>
                <w:szCs w:val="20"/>
                <w:highlight w:val="none"/>
              </w:rPr>
            </w:pPr>
            <w:r>
              <w:rPr>
                <w:rStyle w:val="32"/>
                <w:rFonts w:cs="Times New Roman"/>
                <w:bCs/>
                <w:color w:val="auto"/>
                <w:szCs w:val="20"/>
                <w:highlight w:val="none"/>
              </w:rPr>
              <w:t>合格条件</w:t>
            </w:r>
          </w:p>
        </w:tc>
        <w:tc>
          <w:tcPr>
            <w:tcW w:w="261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Cs/>
                <w:color w:val="auto"/>
                <w:sz w:val="20"/>
                <w:szCs w:val="20"/>
                <w:highlight w:val="none"/>
              </w:rPr>
            </w:pPr>
            <w:r>
              <w:rPr>
                <w:rStyle w:val="32"/>
                <w:rFonts w:cs="Times New Roman"/>
                <w:bCs/>
                <w:color w:val="auto"/>
                <w:szCs w:val="20"/>
                <w:highlight w:val="none"/>
              </w:rPr>
              <w:t>投标人需提供的材料</w:t>
            </w:r>
          </w:p>
        </w:tc>
        <w:tc>
          <w:tcPr>
            <w:tcW w:w="45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Cs/>
                <w:color w:val="auto"/>
                <w:sz w:val="20"/>
                <w:szCs w:val="20"/>
                <w:highlight w:val="none"/>
              </w:rPr>
            </w:pPr>
            <w:r>
              <w:rPr>
                <w:rStyle w:val="32"/>
                <w:rFonts w:cs="Times New Roman"/>
                <w:bCs/>
                <w:color w:val="auto"/>
                <w:szCs w:val="20"/>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Cs/>
                <w:color w:val="auto"/>
                <w:sz w:val="20"/>
                <w:szCs w:val="20"/>
                <w:highlight w:val="none"/>
              </w:rPr>
            </w:pPr>
            <w:r>
              <w:rPr>
                <w:rStyle w:val="32"/>
                <w:rFonts w:cs="Times New Roman"/>
                <w:bCs/>
                <w:color w:val="auto"/>
                <w:szCs w:val="20"/>
                <w:highlight w:val="none"/>
              </w:rPr>
              <w:t>1</w:t>
            </w:r>
          </w:p>
        </w:tc>
        <w:tc>
          <w:tcPr>
            <w:tcW w:w="1733" w:type="dxa"/>
            <w:tcBorders>
              <w:top w:val="single" w:color="000000" w:sz="4" w:space="0"/>
              <w:left w:val="single" w:color="000000" w:sz="4" w:space="0"/>
              <w:bottom w:val="single" w:color="000000" w:sz="4" w:space="0"/>
              <w:right w:val="single" w:color="000000" w:sz="4" w:space="0"/>
            </w:tcBorders>
            <w:vAlign w:val="center"/>
          </w:tcPr>
          <w:p>
            <w:pPr>
              <w:snapToGrid w:val="0"/>
              <w:rPr>
                <w:rStyle w:val="32"/>
                <w:rFonts w:cs="Times New Roman"/>
                <w:color w:val="auto"/>
                <w:sz w:val="20"/>
                <w:highlight w:val="none"/>
              </w:rPr>
            </w:pPr>
            <w:r>
              <w:rPr>
                <w:rStyle w:val="32"/>
                <w:rFonts w:cs="Times New Roman"/>
                <w:color w:val="auto"/>
                <w:highlight w:val="none"/>
              </w:rPr>
              <w:t>授权委托书或法定代表人身份证明</w:t>
            </w:r>
          </w:p>
        </w:tc>
        <w:tc>
          <w:tcPr>
            <w:tcW w:w="4645" w:type="dxa"/>
            <w:tcBorders>
              <w:top w:val="single" w:color="000000" w:sz="4" w:space="0"/>
              <w:left w:val="single" w:color="000000" w:sz="4" w:space="0"/>
              <w:bottom w:val="single" w:color="000000" w:sz="4" w:space="0"/>
              <w:right w:val="single" w:color="000000" w:sz="4" w:space="0"/>
            </w:tcBorders>
            <w:vAlign w:val="center"/>
          </w:tcPr>
          <w:p>
            <w:pPr>
              <w:snapToGrid w:val="0"/>
              <w:rPr>
                <w:rStyle w:val="32"/>
                <w:rFonts w:cs="Times New Roman"/>
                <w:color w:val="auto"/>
                <w:sz w:val="20"/>
                <w:highlight w:val="none"/>
              </w:rPr>
            </w:pPr>
            <w:r>
              <w:rPr>
                <w:rStyle w:val="32"/>
                <w:rFonts w:cs="Times New Roman"/>
                <w:color w:val="auto"/>
                <w:highlight w:val="none"/>
              </w:rPr>
              <w:t>投标企业法定代表人开具的对本项目授权委托书及授权代表身份证证明（加盖公章）</w:t>
            </w:r>
          </w:p>
        </w:tc>
        <w:tc>
          <w:tcPr>
            <w:tcW w:w="2614" w:type="dxa"/>
            <w:tcBorders>
              <w:top w:val="single" w:color="000000" w:sz="4" w:space="0"/>
              <w:left w:val="single" w:color="000000" w:sz="4" w:space="0"/>
              <w:bottom w:val="single" w:color="000000" w:sz="4" w:space="0"/>
              <w:right w:val="single" w:color="000000" w:sz="4" w:space="0"/>
            </w:tcBorders>
            <w:vAlign w:val="center"/>
          </w:tcPr>
          <w:p>
            <w:pPr>
              <w:snapToGrid w:val="0"/>
              <w:rPr>
                <w:rStyle w:val="32"/>
                <w:rFonts w:cs="Times New Roman"/>
                <w:color w:val="auto"/>
                <w:sz w:val="20"/>
                <w:highlight w:val="none"/>
              </w:rPr>
            </w:pPr>
            <w:r>
              <w:rPr>
                <w:rStyle w:val="32"/>
                <w:rFonts w:cs="Times New Roman"/>
                <w:color w:val="auto"/>
                <w:highlight w:val="none"/>
              </w:rPr>
              <w:t>检查有效性</w:t>
            </w:r>
          </w:p>
        </w:tc>
        <w:tc>
          <w:tcPr>
            <w:tcW w:w="456"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bCs/>
                <w:color w:val="auto"/>
                <w:sz w:val="20"/>
                <w:szCs w:val="20"/>
                <w:highlight w:val="none"/>
              </w:rPr>
            </w:pPr>
            <w:r>
              <w:rPr>
                <w:rStyle w:val="32"/>
                <w:rFonts w:cs="Times New Roman"/>
                <w:bCs/>
                <w:color w:val="auto"/>
                <w:szCs w:val="20"/>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Cs/>
                <w:color w:val="auto"/>
                <w:sz w:val="20"/>
                <w:szCs w:val="20"/>
                <w:highlight w:val="none"/>
              </w:rPr>
            </w:pPr>
            <w:r>
              <w:rPr>
                <w:rStyle w:val="32"/>
                <w:rFonts w:cs="Times New Roman"/>
                <w:bCs/>
                <w:color w:val="auto"/>
                <w:szCs w:val="20"/>
                <w:highlight w:val="none"/>
              </w:rPr>
              <w:t>2</w:t>
            </w:r>
          </w:p>
        </w:tc>
        <w:tc>
          <w:tcPr>
            <w:tcW w:w="1733" w:type="dxa"/>
            <w:tcBorders>
              <w:top w:val="single" w:color="000000" w:sz="4" w:space="0"/>
              <w:left w:val="single" w:color="000000" w:sz="4" w:space="0"/>
              <w:bottom w:val="single" w:color="000000" w:sz="4" w:space="0"/>
              <w:right w:val="single" w:color="000000" w:sz="4" w:space="0"/>
            </w:tcBorders>
            <w:vAlign w:val="center"/>
          </w:tcPr>
          <w:p>
            <w:pPr>
              <w:snapToGrid w:val="0"/>
              <w:rPr>
                <w:rStyle w:val="32"/>
                <w:rFonts w:cs="Times New Roman"/>
                <w:color w:val="auto"/>
                <w:sz w:val="20"/>
                <w:highlight w:val="none"/>
              </w:rPr>
            </w:pPr>
            <w:r>
              <w:rPr>
                <w:rStyle w:val="32"/>
                <w:rFonts w:cs="Times New Roman"/>
                <w:color w:val="auto"/>
                <w:highlight w:val="none"/>
              </w:rPr>
              <w:t>企业营业执照</w:t>
            </w:r>
          </w:p>
        </w:tc>
        <w:tc>
          <w:tcPr>
            <w:tcW w:w="4645" w:type="dxa"/>
            <w:tcBorders>
              <w:top w:val="single" w:color="000000" w:sz="4" w:space="0"/>
              <w:left w:val="single" w:color="000000" w:sz="4" w:space="0"/>
              <w:bottom w:val="single" w:color="000000" w:sz="4" w:space="0"/>
              <w:right w:val="single" w:color="000000" w:sz="4" w:space="0"/>
            </w:tcBorders>
            <w:vAlign w:val="center"/>
          </w:tcPr>
          <w:p>
            <w:pPr>
              <w:snapToGrid w:val="0"/>
              <w:rPr>
                <w:rStyle w:val="32"/>
                <w:rFonts w:cs="Times New Roman"/>
                <w:color w:val="auto"/>
                <w:sz w:val="20"/>
                <w:highlight w:val="none"/>
              </w:rPr>
            </w:pPr>
            <w:r>
              <w:rPr>
                <w:rStyle w:val="32"/>
                <w:rFonts w:cs="Times New Roman"/>
                <w:color w:val="auto"/>
                <w:highlight w:val="none"/>
              </w:rPr>
              <w:t>有效的企业营业执照</w:t>
            </w:r>
          </w:p>
        </w:tc>
        <w:tc>
          <w:tcPr>
            <w:tcW w:w="2614"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color w:val="auto"/>
                <w:sz w:val="20"/>
                <w:highlight w:val="none"/>
              </w:rPr>
            </w:pPr>
            <w:r>
              <w:rPr>
                <w:rStyle w:val="32"/>
                <w:rFonts w:cs="Times New Roman"/>
                <w:color w:val="auto"/>
                <w:highlight w:val="none"/>
              </w:rPr>
              <w:t>有效企业营业执照（副本）</w:t>
            </w:r>
          </w:p>
        </w:tc>
        <w:tc>
          <w:tcPr>
            <w:tcW w:w="456"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bCs/>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0"/>
                <w:highlight w:val="none"/>
              </w:rPr>
            </w:pPr>
            <w:r>
              <w:rPr>
                <w:rStyle w:val="32"/>
                <w:rFonts w:cs="Times New Roman"/>
                <w:color w:val="auto"/>
                <w:highlight w:val="none"/>
              </w:rPr>
              <w:t>3</w:t>
            </w:r>
          </w:p>
        </w:tc>
        <w:tc>
          <w:tcPr>
            <w:tcW w:w="1733"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color w:val="auto"/>
                <w:sz w:val="20"/>
                <w:highlight w:val="none"/>
              </w:rPr>
            </w:pPr>
            <w:r>
              <w:rPr>
                <w:rStyle w:val="32"/>
                <w:rFonts w:cs="Times New Roman"/>
                <w:color w:val="auto"/>
                <w:highlight w:val="none"/>
              </w:rPr>
              <w:t>企业资质类别等级</w:t>
            </w:r>
          </w:p>
        </w:tc>
        <w:tc>
          <w:tcPr>
            <w:tcW w:w="4645" w:type="dxa"/>
            <w:tcBorders>
              <w:top w:val="single" w:color="000000" w:sz="4" w:space="0"/>
              <w:left w:val="single" w:color="000000" w:sz="4" w:space="0"/>
              <w:bottom w:val="single" w:color="000000" w:sz="4" w:space="0"/>
              <w:right w:val="single" w:color="000000" w:sz="4" w:space="0"/>
            </w:tcBorders>
            <w:vAlign w:val="center"/>
          </w:tcPr>
          <w:p>
            <w:pPr>
              <w:tabs>
                <w:tab w:val="left" w:pos="900"/>
              </w:tabs>
              <w:snapToGrid w:val="0"/>
              <w:ind w:firstLine="420" w:firstLineChars="200"/>
              <w:rPr>
                <w:rStyle w:val="32"/>
                <w:rFonts w:cs="Times New Roman"/>
                <w:color w:val="auto"/>
                <w:highlight w:val="none"/>
              </w:rPr>
            </w:pPr>
            <w:r>
              <w:rPr>
                <w:rStyle w:val="32"/>
                <w:rFonts w:cs="Times New Roman"/>
                <w:color w:val="auto"/>
                <w:highlight w:val="none"/>
              </w:rPr>
              <w:t>YXGC-1（建筑工程标段）：建筑工程施工总承包叁级及以上资质；</w:t>
            </w:r>
          </w:p>
          <w:p>
            <w:pPr>
              <w:tabs>
                <w:tab w:val="left" w:pos="900"/>
              </w:tabs>
              <w:snapToGrid w:val="0"/>
              <w:ind w:firstLine="420" w:firstLineChars="200"/>
              <w:rPr>
                <w:rStyle w:val="32"/>
                <w:rFonts w:cs="Times New Roman"/>
                <w:color w:val="auto"/>
                <w:highlight w:val="none"/>
              </w:rPr>
            </w:pPr>
            <w:r>
              <w:rPr>
                <w:rStyle w:val="32"/>
                <w:rFonts w:cs="Times New Roman"/>
                <w:color w:val="auto"/>
                <w:highlight w:val="none"/>
              </w:rPr>
              <w:t>YXGC-2（市政公用工程标段）：市政公用工程施工总承包叁级及以上资质；</w:t>
            </w:r>
          </w:p>
          <w:p>
            <w:pPr>
              <w:tabs>
                <w:tab w:val="left" w:pos="900"/>
              </w:tabs>
              <w:snapToGrid w:val="0"/>
              <w:ind w:firstLine="420" w:firstLineChars="200"/>
              <w:rPr>
                <w:rStyle w:val="32"/>
                <w:rFonts w:cs="Times New Roman"/>
                <w:color w:val="auto"/>
                <w:highlight w:val="none"/>
              </w:rPr>
            </w:pPr>
            <w:r>
              <w:rPr>
                <w:rStyle w:val="32"/>
                <w:rFonts w:cs="Times New Roman"/>
                <w:color w:val="auto"/>
                <w:highlight w:val="none"/>
              </w:rPr>
              <w:t>YXGC-3（公路工程标段）：公路工程施工总承包叁级及以上资质；</w:t>
            </w:r>
          </w:p>
          <w:p>
            <w:pPr>
              <w:tabs>
                <w:tab w:val="left" w:pos="900"/>
              </w:tabs>
              <w:snapToGrid w:val="0"/>
              <w:ind w:firstLine="420" w:firstLineChars="200"/>
              <w:rPr>
                <w:rStyle w:val="32"/>
                <w:rFonts w:cs="Times New Roman"/>
                <w:color w:val="auto"/>
                <w:highlight w:val="none"/>
              </w:rPr>
            </w:pPr>
            <w:r>
              <w:rPr>
                <w:rStyle w:val="32"/>
                <w:rFonts w:cs="Times New Roman"/>
                <w:color w:val="auto"/>
                <w:highlight w:val="none"/>
              </w:rPr>
              <w:t>YXGC-4（建筑装修装饰工程标段）：建筑装修装饰工程专业承包贰级及以上资质；</w:t>
            </w:r>
          </w:p>
          <w:p>
            <w:pPr>
              <w:tabs>
                <w:tab w:val="left" w:pos="900"/>
              </w:tabs>
              <w:snapToGrid w:val="0"/>
              <w:ind w:firstLine="420" w:firstLineChars="200"/>
              <w:rPr>
                <w:rStyle w:val="32"/>
                <w:rFonts w:cs="Times New Roman"/>
                <w:color w:val="auto"/>
                <w:highlight w:val="none"/>
              </w:rPr>
            </w:pPr>
            <w:r>
              <w:rPr>
                <w:rStyle w:val="32"/>
                <w:rFonts w:cs="Times New Roman"/>
                <w:color w:val="auto"/>
                <w:highlight w:val="none"/>
              </w:rPr>
              <w:t>YXGC-5（景观绿化工程标段）：经营范围具有绿化相关内容；</w:t>
            </w:r>
          </w:p>
          <w:p>
            <w:pPr>
              <w:tabs>
                <w:tab w:val="left" w:pos="900"/>
              </w:tabs>
              <w:snapToGrid w:val="0"/>
              <w:ind w:firstLine="420" w:firstLineChars="200"/>
              <w:rPr>
                <w:rStyle w:val="32"/>
                <w:rFonts w:cs="Times New Roman"/>
                <w:color w:val="auto"/>
                <w:sz w:val="20"/>
                <w:highlight w:val="none"/>
              </w:rPr>
            </w:pPr>
            <w:r>
              <w:rPr>
                <w:rStyle w:val="32"/>
                <w:rFonts w:cs="Times New Roman"/>
                <w:color w:val="auto"/>
                <w:highlight w:val="none"/>
              </w:rPr>
              <w:t>YXGC-6（交通安全设施标段）：公路交通工程专业</w:t>
            </w:r>
            <w:r>
              <w:rPr>
                <w:rStyle w:val="32"/>
                <w:rFonts w:hint="eastAsia" w:cs="Times New Roman"/>
                <w:color w:val="auto"/>
                <w:highlight w:val="none"/>
                <w:lang w:eastAsia="zh-CN"/>
              </w:rPr>
              <w:t>贰级</w:t>
            </w:r>
            <w:r>
              <w:rPr>
                <w:rStyle w:val="32"/>
                <w:rFonts w:cs="Times New Roman"/>
                <w:color w:val="auto"/>
                <w:highlight w:val="none"/>
              </w:rPr>
              <w:t>及以上资质（公路安全设施分项）</w:t>
            </w:r>
          </w:p>
        </w:tc>
        <w:tc>
          <w:tcPr>
            <w:tcW w:w="2614"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color w:val="auto"/>
                <w:sz w:val="20"/>
                <w:highlight w:val="none"/>
              </w:rPr>
            </w:pPr>
            <w:r>
              <w:rPr>
                <w:rStyle w:val="32"/>
                <w:rFonts w:cs="Times New Roman"/>
                <w:color w:val="auto"/>
                <w:kern w:val="0"/>
                <w:highlight w:val="none"/>
              </w:rPr>
              <w:t>有效企业资质证书（副本）</w:t>
            </w:r>
          </w:p>
        </w:tc>
        <w:tc>
          <w:tcPr>
            <w:tcW w:w="456"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0"/>
                <w:highlight w:val="none"/>
              </w:rPr>
            </w:pPr>
            <w:r>
              <w:rPr>
                <w:rStyle w:val="32"/>
                <w:rFonts w:cs="Times New Roman"/>
                <w:color w:val="auto"/>
                <w:highlight w:val="none"/>
              </w:rPr>
              <w:t>4</w:t>
            </w:r>
          </w:p>
        </w:tc>
        <w:tc>
          <w:tcPr>
            <w:tcW w:w="1733"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color w:val="auto"/>
                <w:sz w:val="20"/>
                <w:highlight w:val="none"/>
              </w:rPr>
            </w:pPr>
            <w:r>
              <w:rPr>
                <w:rStyle w:val="32"/>
                <w:rFonts w:cs="Times New Roman"/>
                <w:color w:val="auto"/>
                <w:kern w:val="0"/>
                <w:highlight w:val="none"/>
              </w:rPr>
              <w:t>企业安全生产许可证及建造师</w:t>
            </w:r>
            <w:r>
              <w:rPr>
                <w:rStyle w:val="32"/>
                <w:rFonts w:cs="Times New Roman"/>
                <w:color w:val="auto"/>
                <w:highlight w:val="none"/>
              </w:rPr>
              <w:t>安全合格B证</w:t>
            </w:r>
          </w:p>
        </w:tc>
        <w:tc>
          <w:tcPr>
            <w:tcW w:w="4645"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color w:val="auto"/>
                <w:sz w:val="20"/>
                <w:highlight w:val="none"/>
              </w:rPr>
            </w:pPr>
            <w:r>
              <w:rPr>
                <w:rStyle w:val="32"/>
                <w:rFonts w:cs="Times New Roman"/>
                <w:color w:val="auto"/>
                <w:highlight w:val="none"/>
              </w:rPr>
              <w:t>企业具备安全生产条件，除YXGC-5标段外，其他投标人须取得安全生产许可证、项目负责人安全合格B证。</w:t>
            </w:r>
          </w:p>
        </w:tc>
        <w:tc>
          <w:tcPr>
            <w:tcW w:w="2614"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color w:val="auto"/>
                <w:sz w:val="20"/>
                <w:highlight w:val="none"/>
              </w:rPr>
            </w:pPr>
            <w:r>
              <w:rPr>
                <w:rStyle w:val="32"/>
                <w:rFonts w:cs="Times New Roman"/>
                <w:color w:val="auto"/>
                <w:kern w:val="0"/>
                <w:highlight w:val="none"/>
              </w:rPr>
              <w:t>有效企业安全生产许可证（副本）及</w:t>
            </w:r>
            <w:r>
              <w:rPr>
                <w:rStyle w:val="32"/>
                <w:rFonts w:cs="Times New Roman"/>
                <w:color w:val="auto"/>
                <w:highlight w:val="none"/>
              </w:rPr>
              <w:t>建造师B证</w:t>
            </w:r>
          </w:p>
        </w:tc>
        <w:tc>
          <w:tcPr>
            <w:tcW w:w="456"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0"/>
                <w:highlight w:val="none"/>
              </w:rPr>
            </w:pPr>
            <w:r>
              <w:rPr>
                <w:rStyle w:val="32"/>
                <w:rFonts w:cs="Times New Roman"/>
                <w:color w:val="auto"/>
                <w:highlight w:val="none"/>
              </w:rPr>
              <w:t>5</w:t>
            </w:r>
          </w:p>
        </w:tc>
        <w:tc>
          <w:tcPr>
            <w:tcW w:w="1733"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color w:val="auto"/>
                <w:kern w:val="0"/>
                <w:sz w:val="20"/>
                <w:highlight w:val="none"/>
              </w:rPr>
            </w:pPr>
            <w:r>
              <w:rPr>
                <w:rStyle w:val="32"/>
                <w:rFonts w:cs="Times New Roman"/>
                <w:color w:val="auto"/>
                <w:highlight w:val="none"/>
              </w:rPr>
              <w:t>项目负责人资格等级</w:t>
            </w:r>
          </w:p>
        </w:tc>
        <w:tc>
          <w:tcPr>
            <w:tcW w:w="4645" w:type="dxa"/>
            <w:tcBorders>
              <w:top w:val="single" w:color="000000" w:sz="4" w:space="0"/>
              <w:left w:val="single" w:color="000000" w:sz="4" w:space="0"/>
              <w:bottom w:val="single" w:color="000000" w:sz="4" w:space="0"/>
              <w:right w:val="single" w:color="000000" w:sz="4" w:space="0"/>
            </w:tcBorders>
            <w:vAlign w:val="center"/>
          </w:tcPr>
          <w:p>
            <w:pPr>
              <w:tabs>
                <w:tab w:val="left" w:pos="900"/>
              </w:tabs>
              <w:snapToGrid w:val="0"/>
              <w:ind w:firstLine="420" w:firstLineChars="200"/>
              <w:rPr>
                <w:rStyle w:val="32"/>
                <w:rFonts w:cs="Times New Roman"/>
                <w:color w:val="auto"/>
                <w:highlight w:val="none"/>
              </w:rPr>
            </w:pPr>
            <w:r>
              <w:rPr>
                <w:rStyle w:val="32"/>
                <w:rFonts w:cs="Times New Roman"/>
                <w:color w:val="auto"/>
                <w:highlight w:val="none"/>
              </w:rPr>
              <w:t>YXGC-1（建筑工程标段）：建筑工程专业</w:t>
            </w:r>
            <w:r>
              <w:rPr>
                <w:rStyle w:val="32"/>
                <w:rFonts w:hint="eastAsia" w:cs="Times New Roman"/>
                <w:color w:val="auto"/>
                <w:highlight w:val="none"/>
                <w:lang w:eastAsia="zh-CN"/>
              </w:rPr>
              <w:t>贰级</w:t>
            </w:r>
            <w:r>
              <w:rPr>
                <w:rStyle w:val="32"/>
                <w:rFonts w:cs="Times New Roman"/>
                <w:color w:val="auto"/>
                <w:highlight w:val="none"/>
              </w:rPr>
              <w:t>及以上注册建造师资格；</w:t>
            </w:r>
          </w:p>
          <w:p>
            <w:pPr>
              <w:tabs>
                <w:tab w:val="left" w:pos="900"/>
              </w:tabs>
              <w:snapToGrid w:val="0"/>
              <w:ind w:firstLine="420" w:firstLineChars="200"/>
              <w:rPr>
                <w:rStyle w:val="32"/>
                <w:rFonts w:cs="Times New Roman"/>
                <w:color w:val="auto"/>
                <w:highlight w:val="none"/>
              </w:rPr>
            </w:pPr>
            <w:r>
              <w:rPr>
                <w:rStyle w:val="32"/>
                <w:rFonts w:cs="Times New Roman"/>
                <w:color w:val="auto"/>
                <w:highlight w:val="none"/>
              </w:rPr>
              <w:t>YXGC-2（市政公用工程标段）：市政公用工程</w:t>
            </w:r>
            <w:r>
              <w:rPr>
                <w:rStyle w:val="32"/>
                <w:rFonts w:hint="eastAsia" w:cs="Times New Roman"/>
                <w:color w:val="auto"/>
                <w:highlight w:val="none"/>
                <w:lang w:eastAsia="zh-CN"/>
              </w:rPr>
              <w:t>贰级</w:t>
            </w:r>
            <w:r>
              <w:rPr>
                <w:rStyle w:val="32"/>
                <w:rFonts w:cs="Times New Roman"/>
                <w:color w:val="auto"/>
                <w:highlight w:val="none"/>
              </w:rPr>
              <w:t>及以上注册建造师资格；</w:t>
            </w:r>
          </w:p>
          <w:p>
            <w:pPr>
              <w:tabs>
                <w:tab w:val="left" w:pos="900"/>
              </w:tabs>
              <w:snapToGrid w:val="0"/>
              <w:ind w:firstLine="420" w:firstLineChars="200"/>
              <w:rPr>
                <w:rStyle w:val="32"/>
                <w:rFonts w:cs="Times New Roman"/>
                <w:color w:val="auto"/>
                <w:highlight w:val="none"/>
              </w:rPr>
            </w:pPr>
            <w:r>
              <w:rPr>
                <w:rStyle w:val="32"/>
                <w:rFonts w:cs="Times New Roman"/>
                <w:color w:val="auto"/>
                <w:highlight w:val="none"/>
              </w:rPr>
              <w:t>YXGC-3（公路工程标段）：公路工程专业</w:t>
            </w:r>
            <w:r>
              <w:rPr>
                <w:rStyle w:val="32"/>
                <w:rFonts w:hint="eastAsia" w:cs="Times New Roman"/>
                <w:color w:val="auto"/>
                <w:highlight w:val="none"/>
                <w:lang w:eastAsia="zh-CN"/>
              </w:rPr>
              <w:t>贰级</w:t>
            </w:r>
            <w:r>
              <w:rPr>
                <w:rStyle w:val="32"/>
                <w:rFonts w:cs="Times New Roman"/>
                <w:color w:val="auto"/>
                <w:highlight w:val="none"/>
              </w:rPr>
              <w:t>及以上注册建造师资格；</w:t>
            </w:r>
          </w:p>
          <w:p>
            <w:pPr>
              <w:tabs>
                <w:tab w:val="left" w:pos="900"/>
              </w:tabs>
              <w:snapToGrid w:val="0"/>
              <w:ind w:firstLine="420" w:firstLineChars="200"/>
              <w:rPr>
                <w:rStyle w:val="32"/>
                <w:rFonts w:cs="Times New Roman"/>
                <w:color w:val="auto"/>
                <w:highlight w:val="none"/>
              </w:rPr>
            </w:pPr>
            <w:r>
              <w:rPr>
                <w:rStyle w:val="32"/>
                <w:rFonts w:cs="Times New Roman"/>
                <w:color w:val="auto"/>
                <w:highlight w:val="none"/>
              </w:rPr>
              <w:t>YXGC-4（建筑装修装饰工程标段）：建筑工程专业</w:t>
            </w:r>
            <w:r>
              <w:rPr>
                <w:rStyle w:val="32"/>
                <w:rFonts w:hint="eastAsia" w:cs="Times New Roman"/>
                <w:color w:val="auto"/>
                <w:highlight w:val="none"/>
                <w:lang w:eastAsia="zh-CN"/>
              </w:rPr>
              <w:t>贰级</w:t>
            </w:r>
            <w:r>
              <w:rPr>
                <w:rStyle w:val="32"/>
                <w:rFonts w:cs="Times New Roman"/>
                <w:color w:val="auto"/>
                <w:highlight w:val="none"/>
              </w:rPr>
              <w:t xml:space="preserve">及以上注册建造师资格； </w:t>
            </w:r>
          </w:p>
          <w:p>
            <w:pPr>
              <w:tabs>
                <w:tab w:val="left" w:pos="900"/>
              </w:tabs>
              <w:snapToGrid w:val="0"/>
              <w:ind w:firstLine="420" w:firstLineChars="200"/>
              <w:rPr>
                <w:rStyle w:val="32"/>
                <w:rFonts w:cs="Times New Roman"/>
                <w:color w:val="auto"/>
                <w:highlight w:val="none"/>
              </w:rPr>
            </w:pPr>
            <w:r>
              <w:rPr>
                <w:rStyle w:val="32"/>
                <w:rFonts w:cs="Times New Roman"/>
                <w:color w:val="auto"/>
                <w:highlight w:val="none"/>
              </w:rPr>
              <w:t>YXGC-5（景观绿化工程标段）：市政公用工程</w:t>
            </w:r>
            <w:r>
              <w:rPr>
                <w:rStyle w:val="32"/>
                <w:rFonts w:hint="eastAsia" w:cs="Times New Roman"/>
                <w:color w:val="auto"/>
                <w:highlight w:val="none"/>
                <w:lang w:eastAsia="zh-CN"/>
              </w:rPr>
              <w:t>贰级</w:t>
            </w:r>
            <w:r>
              <w:rPr>
                <w:rStyle w:val="32"/>
                <w:rFonts w:cs="Times New Roman"/>
                <w:color w:val="auto"/>
                <w:highlight w:val="none"/>
              </w:rPr>
              <w:t>及以上注册建造师资格或园林绿化及相关专业中级及以上职称；</w:t>
            </w:r>
          </w:p>
          <w:p>
            <w:pPr>
              <w:tabs>
                <w:tab w:val="left" w:pos="900"/>
              </w:tabs>
              <w:snapToGrid w:val="0"/>
              <w:ind w:firstLine="420" w:firstLineChars="200"/>
              <w:rPr>
                <w:rStyle w:val="32"/>
                <w:rFonts w:cs="Times New Roman"/>
                <w:color w:val="auto"/>
                <w:highlight w:val="none"/>
              </w:rPr>
            </w:pPr>
            <w:r>
              <w:rPr>
                <w:rStyle w:val="32"/>
                <w:rFonts w:cs="Times New Roman"/>
                <w:color w:val="auto"/>
                <w:highlight w:val="none"/>
              </w:rPr>
              <w:t>YXGC-6（交通安全设施标段）：公路工程专业</w:t>
            </w:r>
            <w:r>
              <w:rPr>
                <w:rStyle w:val="32"/>
                <w:rFonts w:hint="eastAsia" w:cs="Times New Roman"/>
                <w:color w:val="auto"/>
                <w:highlight w:val="none"/>
                <w:lang w:eastAsia="zh-CN"/>
              </w:rPr>
              <w:t>贰级</w:t>
            </w:r>
            <w:r>
              <w:rPr>
                <w:rStyle w:val="32"/>
                <w:rFonts w:cs="Times New Roman"/>
                <w:color w:val="auto"/>
                <w:highlight w:val="none"/>
              </w:rPr>
              <w:t>及以上注册建造师资格；</w:t>
            </w:r>
          </w:p>
        </w:tc>
        <w:tc>
          <w:tcPr>
            <w:tcW w:w="2614"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color w:val="auto"/>
                <w:kern w:val="0"/>
                <w:sz w:val="20"/>
                <w:highlight w:val="none"/>
              </w:rPr>
            </w:pPr>
            <w:r>
              <w:rPr>
                <w:rStyle w:val="32"/>
                <w:rFonts w:cs="Times New Roman"/>
                <w:color w:val="auto"/>
                <w:kern w:val="0"/>
                <w:highlight w:val="none"/>
              </w:rPr>
              <w:t>有效资格证书</w:t>
            </w:r>
          </w:p>
        </w:tc>
        <w:tc>
          <w:tcPr>
            <w:tcW w:w="456"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0"/>
                <w:highlight w:val="none"/>
              </w:rPr>
            </w:pPr>
            <w:r>
              <w:rPr>
                <w:rStyle w:val="32"/>
                <w:rFonts w:cs="Times New Roman"/>
                <w:color w:val="auto"/>
                <w:highlight w:val="none"/>
              </w:rPr>
              <w:t>6</w:t>
            </w:r>
          </w:p>
        </w:tc>
        <w:tc>
          <w:tcPr>
            <w:tcW w:w="1733" w:type="dxa"/>
            <w:tcBorders>
              <w:top w:val="single" w:color="000000" w:sz="4" w:space="0"/>
              <w:left w:val="single" w:color="000000" w:sz="4" w:space="0"/>
              <w:bottom w:val="single" w:color="000000" w:sz="4" w:space="0"/>
              <w:right w:val="single" w:color="000000" w:sz="4" w:space="0"/>
            </w:tcBorders>
            <w:vAlign w:val="center"/>
          </w:tcPr>
          <w:p>
            <w:pPr>
              <w:snapToGrid w:val="0"/>
              <w:rPr>
                <w:rStyle w:val="32"/>
                <w:rFonts w:cs="Times New Roman"/>
                <w:color w:val="auto"/>
                <w:sz w:val="20"/>
                <w:highlight w:val="none"/>
              </w:rPr>
            </w:pPr>
            <w:r>
              <w:rPr>
                <w:rStyle w:val="32"/>
                <w:rFonts w:cs="Times New Roman"/>
                <w:color w:val="auto"/>
                <w:highlight w:val="none"/>
              </w:rPr>
              <w:t>无重大违法记录声明</w:t>
            </w:r>
          </w:p>
        </w:tc>
        <w:tc>
          <w:tcPr>
            <w:tcW w:w="4645" w:type="dxa"/>
            <w:tcBorders>
              <w:top w:val="single" w:color="000000" w:sz="4" w:space="0"/>
              <w:left w:val="single" w:color="000000" w:sz="4" w:space="0"/>
              <w:bottom w:val="single" w:color="000000" w:sz="4" w:space="0"/>
              <w:right w:val="single" w:color="000000" w:sz="4" w:space="0"/>
            </w:tcBorders>
            <w:vAlign w:val="center"/>
          </w:tcPr>
          <w:p>
            <w:pPr>
              <w:snapToGrid w:val="0"/>
              <w:rPr>
                <w:rStyle w:val="32"/>
                <w:rFonts w:cs="Times New Roman"/>
                <w:color w:val="auto"/>
                <w:sz w:val="20"/>
                <w:highlight w:val="none"/>
              </w:rPr>
            </w:pPr>
            <w:r>
              <w:rPr>
                <w:rStyle w:val="32"/>
                <w:rFonts w:cs="Times New Roman"/>
                <w:color w:val="auto"/>
                <w:highlight w:val="none"/>
              </w:rPr>
              <w:t>无重大违法记录声明</w:t>
            </w:r>
          </w:p>
        </w:tc>
        <w:tc>
          <w:tcPr>
            <w:tcW w:w="2614" w:type="dxa"/>
            <w:tcBorders>
              <w:top w:val="single" w:color="000000" w:sz="4" w:space="0"/>
              <w:left w:val="single" w:color="000000" w:sz="4" w:space="0"/>
              <w:bottom w:val="single" w:color="000000" w:sz="4" w:space="0"/>
              <w:right w:val="single" w:color="000000" w:sz="4" w:space="0"/>
            </w:tcBorders>
            <w:vAlign w:val="center"/>
          </w:tcPr>
          <w:p>
            <w:pPr>
              <w:snapToGrid w:val="0"/>
              <w:rPr>
                <w:rStyle w:val="32"/>
                <w:rFonts w:cs="Times New Roman"/>
                <w:color w:val="auto"/>
                <w:sz w:val="20"/>
                <w:highlight w:val="none"/>
              </w:rPr>
            </w:pPr>
            <w:r>
              <w:rPr>
                <w:rStyle w:val="32"/>
                <w:rFonts w:cs="Times New Roman"/>
                <w:color w:val="auto"/>
                <w:highlight w:val="none"/>
              </w:rPr>
              <w:t>格式见第七章资格审查</w:t>
            </w:r>
          </w:p>
        </w:tc>
        <w:tc>
          <w:tcPr>
            <w:tcW w:w="456"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0"/>
                <w:highlight w:val="none"/>
              </w:rPr>
            </w:pPr>
            <w:r>
              <w:rPr>
                <w:rStyle w:val="32"/>
                <w:rFonts w:cs="Times New Roman"/>
                <w:color w:val="auto"/>
                <w:highlight w:val="none"/>
              </w:rPr>
              <w:t>7</w:t>
            </w:r>
          </w:p>
        </w:tc>
        <w:tc>
          <w:tcPr>
            <w:tcW w:w="1733" w:type="dxa"/>
            <w:tcBorders>
              <w:top w:val="single" w:color="000000" w:sz="4" w:space="0"/>
              <w:left w:val="single" w:color="000000" w:sz="4" w:space="0"/>
              <w:bottom w:val="single" w:color="000000" w:sz="4" w:space="0"/>
              <w:right w:val="single" w:color="000000" w:sz="4" w:space="0"/>
            </w:tcBorders>
            <w:vAlign w:val="center"/>
          </w:tcPr>
          <w:p>
            <w:pPr>
              <w:snapToGrid w:val="0"/>
              <w:rPr>
                <w:rStyle w:val="32"/>
                <w:rFonts w:cs="Times New Roman"/>
                <w:color w:val="auto"/>
                <w:sz w:val="20"/>
                <w:highlight w:val="none"/>
              </w:rPr>
            </w:pPr>
            <w:r>
              <w:rPr>
                <w:rStyle w:val="32"/>
                <w:rFonts w:cs="Times New Roman"/>
                <w:color w:val="auto"/>
                <w:highlight w:val="none"/>
              </w:rPr>
              <w:t>资格文件的声明函</w:t>
            </w:r>
          </w:p>
        </w:tc>
        <w:tc>
          <w:tcPr>
            <w:tcW w:w="4645" w:type="dxa"/>
            <w:tcBorders>
              <w:top w:val="single" w:color="000000" w:sz="4" w:space="0"/>
              <w:left w:val="single" w:color="000000" w:sz="4" w:space="0"/>
              <w:bottom w:val="single" w:color="000000" w:sz="4" w:space="0"/>
              <w:right w:val="single" w:color="000000" w:sz="4" w:space="0"/>
            </w:tcBorders>
            <w:vAlign w:val="center"/>
          </w:tcPr>
          <w:p>
            <w:pPr>
              <w:snapToGrid w:val="0"/>
              <w:rPr>
                <w:rStyle w:val="32"/>
                <w:rFonts w:cs="Times New Roman"/>
                <w:color w:val="auto"/>
                <w:sz w:val="20"/>
                <w:highlight w:val="none"/>
              </w:rPr>
            </w:pPr>
            <w:r>
              <w:rPr>
                <w:rStyle w:val="32"/>
                <w:rFonts w:cs="Times New Roman"/>
                <w:color w:val="auto"/>
                <w:highlight w:val="none"/>
              </w:rPr>
              <w:t>关于资格文件的声明函</w:t>
            </w:r>
          </w:p>
        </w:tc>
        <w:tc>
          <w:tcPr>
            <w:tcW w:w="2614" w:type="dxa"/>
            <w:tcBorders>
              <w:top w:val="single" w:color="000000" w:sz="4" w:space="0"/>
              <w:left w:val="single" w:color="000000" w:sz="4" w:space="0"/>
              <w:bottom w:val="single" w:color="000000" w:sz="4" w:space="0"/>
              <w:right w:val="single" w:color="000000" w:sz="4" w:space="0"/>
            </w:tcBorders>
            <w:vAlign w:val="center"/>
          </w:tcPr>
          <w:p>
            <w:pPr>
              <w:snapToGrid w:val="0"/>
              <w:rPr>
                <w:rStyle w:val="32"/>
                <w:rFonts w:cs="Times New Roman"/>
                <w:color w:val="auto"/>
                <w:sz w:val="20"/>
                <w:highlight w:val="none"/>
              </w:rPr>
            </w:pPr>
            <w:r>
              <w:rPr>
                <w:rStyle w:val="32"/>
                <w:rFonts w:cs="Times New Roman"/>
                <w:color w:val="auto"/>
                <w:highlight w:val="none"/>
              </w:rPr>
              <w:t>格式见第七章资格审查</w:t>
            </w:r>
          </w:p>
        </w:tc>
        <w:tc>
          <w:tcPr>
            <w:tcW w:w="456"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highlight w:val="none"/>
              </w:rPr>
            </w:pPr>
            <w:r>
              <w:rPr>
                <w:rStyle w:val="32"/>
                <w:rFonts w:cs="Times New Roman"/>
                <w:color w:val="auto"/>
                <w:highlight w:val="none"/>
              </w:rPr>
              <w:t>8</w:t>
            </w:r>
          </w:p>
        </w:tc>
        <w:tc>
          <w:tcPr>
            <w:tcW w:w="1733" w:type="dxa"/>
            <w:tcBorders>
              <w:top w:val="single" w:color="000000" w:sz="4" w:space="0"/>
              <w:left w:val="single" w:color="000000" w:sz="4" w:space="0"/>
              <w:bottom w:val="single" w:color="000000" w:sz="4" w:space="0"/>
              <w:right w:val="single" w:color="000000" w:sz="4" w:space="0"/>
            </w:tcBorders>
            <w:vAlign w:val="center"/>
          </w:tcPr>
          <w:p>
            <w:pPr>
              <w:snapToGrid w:val="0"/>
              <w:rPr>
                <w:rStyle w:val="32"/>
                <w:rFonts w:cs="Times New Roman"/>
                <w:color w:val="auto"/>
                <w:highlight w:val="none"/>
              </w:rPr>
            </w:pPr>
            <w:r>
              <w:rPr>
                <w:rStyle w:val="32"/>
                <w:rFonts w:cs="Times New Roman"/>
                <w:color w:val="auto"/>
                <w:highlight w:val="none"/>
              </w:rPr>
              <w:t>报价的承诺函</w:t>
            </w:r>
          </w:p>
        </w:tc>
        <w:tc>
          <w:tcPr>
            <w:tcW w:w="4645" w:type="dxa"/>
            <w:tcBorders>
              <w:top w:val="single" w:color="000000" w:sz="4" w:space="0"/>
              <w:left w:val="single" w:color="000000" w:sz="4" w:space="0"/>
              <w:bottom w:val="single" w:color="000000" w:sz="4" w:space="0"/>
              <w:right w:val="single" w:color="000000" w:sz="4" w:space="0"/>
            </w:tcBorders>
            <w:vAlign w:val="center"/>
          </w:tcPr>
          <w:p>
            <w:pPr>
              <w:snapToGrid w:val="0"/>
              <w:rPr>
                <w:rStyle w:val="32"/>
                <w:rFonts w:cs="Times New Roman"/>
                <w:color w:val="auto"/>
                <w:highlight w:val="none"/>
              </w:rPr>
            </w:pPr>
            <w:r>
              <w:rPr>
                <w:rStyle w:val="32"/>
                <w:rFonts w:cs="Times New Roman"/>
                <w:color w:val="auto"/>
                <w:highlight w:val="none"/>
              </w:rPr>
              <w:t>关于报价的承诺函</w:t>
            </w:r>
          </w:p>
        </w:tc>
        <w:tc>
          <w:tcPr>
            <w:tcW w:w="2614" w:type="dxa"/>
            <w:tcBorders>
              <w:top w:val="single" w:color="000000" w:sz="4" w:space="0"/>
              <w:left w:val="single" w:color="000000" w:sz="4" w:space="0"/>
              <w:bottom w:val="single" w:color="000000" w:sz="4" w:space="0"/>
              <w:right w:val="single" w:color="000000" w:sz="4" w:space="0"/>
            </w:tcBorders>
            <w:vAlign w:val="center"/>
          </w:tcPr>
          <w:p>
            <w:pPr>
              <w:snapToGrid w:val="0"/>
              <w:rPr>
                <w:rStyle w:val="32"/>
                <w:rFonts w:cs="Times New Roman"/>
                <w:color w:val="auto"/>
                <w:highlight w:val="none"/>
              </w:rPr>
            </w:pPr>
            <w:r>
              <w:rPr>
                <w:rStyle w:val="32"/>
                <w:rFonts w:cs="Times New Roman"/>
                <w:color w:val="auto"/>
                <w:highlight w:val="none"/>
              </w:rPr>
              <w:t>格式见第七章资格审查</w:t>
            </w:r>
          </w:p>
        </w:tc>
        <w:tc>
          <w:tcPr>
            <w:tcW w:w="456"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trPr>
        <w:tc>
          <w:tcPr>
            <w:tcW w:w="9905" w:type="dxa"/>
            <w:gridSpan w:val="5"/>
            <w:tcBorders>
              <w:top w:val="single" w:color="000000" w:sz="4" w:space="0"/>
              <w:left w:val="single" w:color="000000" w:sz="4" w:space="0"/>
              <w:bottom w:val="single" w:color="000000" w:sz="4" w:space="0"/>
              <w:right w:val="single" w:color="000000" w:sz="4" w:space="0"/>
            </w:tcBorders>
            <w:vAlign w:val="center"/>
          </w:tcPr>
          <w:p>
            <w:pPr>
              <w:snapToGrid w:val="0"/>
              <w:rPr>
                <w:rStyle w:val="32"/>
                <w:rFonts w:cs="Times New Roman"/>
                <w:color w:val="auto"/>
                <w:sz w:val="20"/>
                <w:szCs w:val="20"/>
                <w:highlight w:val="none"/>
              </w:rPr>
            </w:pPr>
            <w:r>
              <w:rPr>
                <w:rStyle w:val="32"/>
                <w:rFonts w:cs="Times New Roman"/>
                <w:color w:val="auto"/>
                <w:szCs w:val="20"/>
                <w:highlight w:val="none"/>
              </w:rPr>
              <w:t>备注：</w:t>
            </w:r>
          </w:p>
          <w:p>
            <w:pPr>
              <w:snapToGrid w:val="0"/>
              <w:rPr>
                <w:rStyle w:val="32"/>
                <w:rFonts w:cs="Times New Roman"/>
                <w:color w:val="auto"/>
                <w:sz w:val="20"/>
                <w:szCs w:val="20"/>
                <w:highlight w:val="none"/>
              </w:rPr>
            </w:pPr>
            <w:r>
              <w:rPr>
                <w:rStyle w:val="32"/>
                <w:rFonts w:hint="eastAsia" w:ascii="宋体" w:hAnsi="宋体" w:cs="宋体"/>
                <w:color w:val="auto"/>
                <w:szCs w:val="20"/>
                <w:highlight w:val="none"/>
              </w:rPr>
              <w:t>①</w:t>
            </w:r>
            <w:r>
              <w:rPr>
                <w:rStyle w:val="32"/>
                <w:rFonts w:cs="Times New Roman"/>
                <w:color w:val="auto"/>
                <w:szCs w:val="20"/>
                <w:highlight w:val="none"/>
              </w:rPr>
              <w:t>若在评审过程中，发现提供资格审查材料虚假，则资格审查不通过，记不良行为一次并网上公示。</w:t>
            </w:r>
          </w:p>
          <w:p>
            <w:pPr>
              <w:snapToGrid w:val="0"/>
              <w:rPr>
                <w:rStyle w:val="32"/>
                <w:rFonts w:cs="Times New Roman"/>
                <w:color w:val="auto"/>
                <w:sz w:val="20"/>
                <w:szCs w:val="20"/>
                <w:highlight w:val="none"/>
              </w:rPr>
            </w:pPr>
            <w:r>
              <w:rPr>
                <w:rStyle w:val="32"/>
                <w:rFonts w:hint="eastAsia" w:ascii="宋体" w:hAnsi="宋体" w:cs="宋体"/>
                <w:color w:val="auto"/>
                <w:szCs w:val="20"/>
                <w:highlight w:val="none"/>
              </w:rPr>
              <w:t>②</w:t>
            </w:r>
            <w:r>
              <w:rPr>
                <w:rStyle w:val="32"/>
                <w:rFonts w:cs="Times New Roman"/>
                <w:color w:val="auto"/>
                <w:szCs w:val="20"/>
                <w:highlight w:val="none"/>
              </w:rPr>
              <w:t>上述材料为原件扫描件的，需清晰，否则可认定资格审查不通过；</w:t>
            </w:r>
          </w:p>
          <w:p>
            <w:pPr>
              <w:snapToGrid w:val="0"/>
              <w:rPr>
                <w:rStyle w:val="32"/>
                <w:rFonts w:cs="Times New Roman"/>
                <w:color w:val="auto"/>
                <w:sz w:val="20"/>
                <w:szCs w:val="20"/>
                <w:highlight w:val="none"/>
              </w:rPr>
            </w:pPr>
            <w:r>
              <w:rPr>
                <w:rStyle w:val="32"/>
                <w:rFonts w:hint="eastAsia" w:ascii="宋体" w:hAnsi="宋体" w:cs="宋体"/>
                <w:color w:val="auto"/>
                <w:szCs w:val="20"/>
                <w:highlight w:val="none"/>
              </w:rPr>
              <w:t>③</w:t>
            </w:r>
            <w:r>
              <w:rPr>
                <w:rStyle w:val="32"/>
                <w:rFonts w:cs="Times New Roman"/>
                <w:color w:val="auto"/>
                <w:szCs w:val="20"/>
                <w:highlight w:val="none"/>
              </w:rPr>
              <w:t>上述(1)～（8)中任何一条不符合要求 ，则资格审查不通过；</w:t>
            </w:r>
          </w:p>
          <w:p>
            <w:pPr>
              <w:snapToGrid w:val="0"/>
              <w:jc w:val="left"/>
              <w:rPr>
                <w:rStyle w:val="32"/>
                <w:rFonts w:cs="Times New Roman"/>
                <w:bCs/>
                <w:color w:val="auto"/>
                <w:sz w:val="20"/>
                <w:szCs w:val="20"/>
                <w:highlight w:val="none"/>
              </w:rPr>
            </w:pPr>
            <w:r>
              <w:rPr>
                <w:rStyle w:val="32"/>
                <w:rFonts w:hint="eastAsia" w:ascii="宋体" w:hAnsi="宋体" w:cs="宋体"/>
                <w:color w:val="auto"/>
                <w:szCs w:val="20"/>
                <w:highlight w:val="none"/>
              </w:rPr>
              <w:t>④</w:t>
            </w:r>
            <w:r>
              <w:rPr>
                <w:rStyle w:val="32"/>
                <w:rFonts w:cs="Times New Roman"/>
                <w:color w:val="auto"/>
                <w:szCs w:val="20"/>
                <w:highlight w:val="none"/>
              </w:rPr>
              <w:t>如法人名称和法定代表人姓名发生变化，请提供相关证明；证书如遇年检，请提供相关证明。否则，资格审查不通过。</w:t>
            </w:r>
          </w:p>
        </w:tc>
      </w:tr>
    </w:tbl>
    <w:p>
      <w:pPr>
        <w:snapToGrid w:val="0"/>
        <w:spacing w:line="400" w:lineRule="exact"/>
        <w:ind w:firstLine="480"/>
        <w:jc w:val="center"/>
        <w:rPr>
          <w:rStyle w:val="32"/>
          <w:rFonts w:cs="Times New Roman"/>
          <w:color w:val="auto"/>
          <w:spacing w:val="-1"/>
          <w:sz w:val="24"/>
          <w:highlight w:val="none"/>
        </w:rPr>
      </w:pPr>
    </w:p>
    <w:p>
      <w:pPr>
        <w:snapToGrid w:val="0"/>
        <w:spacing w:line="360" w:lineRule="auto"/>
        <w:ind w:firstLine="482" w:firstLineChars="200"/>
        <w:jc w:val="left"/>
        <w:rPr>
          <w:rStyle w:val="32"/>
          <w:rFonts w:cs="Times New Roman"/>
          <w:b/>
          <w:color w:val="auto"/>
          <w:sz w:val="24"/>
          <w:szCs w:val="24"/>
          <w:highlight w:val="none"/>
        </w:rPr>
      </w:pPr>
      <w:r>
        <w:rPr>
          <w:rStyle w:val="32"/>
          <w:rFonts w:cs="Times New Roman"/>
          <w:b/>
          <w:color w:val="auto"/>
          <w:sz w:val="24"/>
          <w:szCs w:val="24"/>
          <w:highlight w:val="none"/>
        </w:rPr>
        <w:t>3、评标细则（100分）</w:t>
      </w:r>
    </w:p>
    <w:p>
      <w:pPr>
        <w:snapToGrid w:val="0"/>
        <w:spacing w:line="360" w:lineRule="auto"/>
        <w:ind w:firstLine="480" w:firstLineChars="200"/>
        <w:rPr>
          <w:rStyle w:val="32"/>
          <w:rFonts w:cs="Times New Roman"/>
          <w:bCs/>
          <w:color w:val="auto"/>
          <w:sz w:val="24"/>
          <w:highlight w:val="none"/>
        </w:rPr>
      </w:pPr>
      <w:r>
        <w:rPr>
          <w:rStyle w:val="32"/>
          <w:rFonts w:cs="Times New Roman"/>
          <w:bCs/>
          <w:color w:val="auto"/>
          <w:sz w:val="24"/>
          <w:highlight w:val="none"/>
        </w:rPr>
        <w:t>评委会将对确定为实质性响应招标文件要求的投标文件进行评价和比较，评标采用综合评分法。具体方法如下：</w:t>
      </w:r>
    </w:p>
    <w:p>
      <w:pPr>
        <w:snapToGrid w:val="0"/>
        <w:spacing w:line="360" w:lineRule="auto"/>
        <w:ind w:firstLine="480" w:firstLineChars="200"/>
        <w:rPr>
          <w:rStyle w:val="32"/>
          <w:rFonts w:cs="Times New Roman"/>
          <w:b/>
          <w:bCs/>
          <w:color w:val="auto"/>
          <w:sz w:val="24"/>
          <w:highlight w:val="none"/>
          <w:u w:val="single"/>
        </w:rPr>
      </w:pPr>
      <w:r>
        <w:rPr>
          <w:rStyle w:val="32"/>
          <w:rFonts w:cs="Times New Roman"/>
          <w:bCs/>
          <w:color w:val="auto"/>
          <w:sz w:val="24"/>
          <w:highlight w:val="none"/>
        </w:rPr>
        <w:t>评审小组遵循公平、公正、择优原则，独立按照评分标准分别评定报价人的分值；各报价人的最终总得分为各评委所评定分值的平均值，并按总得分选取预选入库单位，</w:t>
      </w:r>
      <w:r>
        <w:rPr>
          <w:rStyle w:val="32"/>
          <w:rFonts w:cs="Times New Roman"/>
          <w:color w:val="auto"/>
          <w:sz w:val="24"/>
          <w:szCs w:val="24"/>
          <w:highlight w:val="none"/>
        </w:rPr>
        <w:t>每个标段总得分大于等于70分的单位均入围</w:t>
      </w:r>
      <w:r>
        <w:rPr>
          <w:rStyle w:val="32"/>
          <w:rFonts w:cs="Times New Roman"/>
          <w:b/>
          <w:bCs/>
          <w:color w:val="auto"/>
          <w:sz w:val="24"/>
          <w:highlight w:val="none"/>
          <w:u w:val="single" w:color="000000"/>
        </w:rPr>
        <w:t>。招标人有权对入库单位的办公场所、设施、设备、业绩的真实性进行考察，如发现弄虚作假的，招标人有权取消其成交资格。</w:t>
      </w:r>
    </w:p>
    <w:p>
      <w:pPr>
        <w:pStyle w:val="21"/>
        <w:snapToGrid w:val="0"/>
        <w:spacing w:line="360" w:lineRule="auto"/>
        <w:ind w:firstLine="480" w:firstLineChars="200"/>
        <w:rPr>
          <w:rStyle w:val="32"/>
          <w:rFonts w:ascii="Times New Roman" w:hAnsi="Times New Roman" w:eastAsia="宋体" w:cs="Times New Roman"/>
          <w:bCs/>
          <w:color w:val="auto"/>
          <w:sz w:val="24"/>
          <w:szCs w:val="21"/>
          <w:highlight w:val="none"/>
        </w:rPr>
      </w:pPr>
      <w:r>
        <w:rPr>
          <w:rStyle w:val="32"/>
          <w:rFonts w:ascii="Times New Roman" w:hAnsi="Times New Roman" w:eastAsia="宋体" w:cs="Times New Roman"/>
          <w:bCs/>
          <w:color w:val="auto"/>
          <w:sz w:val="24"/>
          <w:szCs w:val="21"/>
          <w:highlight w:val="none"/>
        </w:rPr>
        <w:t>报价明显低于其他合格投标人的报价，有可能影响质量或者不能诚信履约的，应当要求其在评审现场合理时间内提供书面说明，必要时提供相关证明材料；投标人不能证明其首次报价合理性的，评审委员会应当将其作为无效响应处理。</w:t>
      </w:r>
    </w:p>
    <w:p>
      <w:pPr>
        <w:snapToGrid w:val="0"/>
        <w:spacing w:line="360" w:lineRule="auto"/>
        <w:ind w:firstLine="200"/>
        <w:rPr>
          <w:rStyle w:val="32"/>
          <w:rFonts w:cs="Times New Roman"/>
          <w:color w:val="auto"/>
          <w:sz w:val="20"/>
          <w:highlight w:val="none"/>
        </w:rPr>
      </w:pPr>
      <w:r>
        <w:rPr>
          <w:rStyle w:val="32"/>
          <w:rFonts w:cs="Times New Roman"/>
          <w:bCs/>
          <w:color w:val="auto"/>
          <w:sz w:val="24"/>
          <w:highlight w:val="none"/>
        </w:rPr>
        <w:t>（一）技术商务部分（100分）</w:t>
      </w:r>
    </w:p>
    <w:p>
      <w:pPr>
        <w:snapToGrid w:val="0"/>
        <w:spacing w:line="360" w:lineRule="auto"/>
        <w:ind w:firstLine="200"/>
        <w:rPr>
          <w:rStyle w:val="32"/>
          <w:rFonts w:cs="Times New Roman"/>
          <w:bCs/>
          <w:color w:val="auto"/>
          <w:sz w:val="24"/>
          <w:highlight w:val="none"/>
        </w:rPr>
      </w:pPr>
      <w:r>
        <w:rPr>
          <w:rStyle w:val="32"/>
          <w:rFonts w:cs="Times New Roman"/>
          <w:bCs/>
          <w:color w:val="auto"/>
          <w:sz w:val="24"/>
          <w:highlight w:val="none"/>
        </w:rPr>
        <w:t>1、各标段的类似业绩是指：</w:t>
      </w:r>
    </w:p>
    <w:p>
      <w:pPr>
        <w:pStyle w:val="21"/>
        <w:snapToGrid w:val="0"/>
        <w:spacing w:line="360" w:lineRule="auto"/>
        <w:ind w:firstLine="480" w:firstLineChars="200"/>
        <w:rPr>
          <w:rStyle w:val="32"/>
          <w:rFonts w:ascii="Times New Roman" w:hAnsi="Times New Roman" w:eastAsia="宋体" w:cs="Times New Roman"/>
          <w:bCs/>
          <w:color w:val="auto"/>
          <w:sz w:val="24"/>
          <w:szCs w:val="21"/>
          <w:highlight w:val="none"/>
        </w:rPr>
      </w:pPr>
      <w:r>
        <w:rPr>
          <w:rStyle w:val="32"/>
          <w:rFonts w:ascii="Times New Roman" w:hAnsi="Times New Roman" w:eastAsia="宋体" w:cs="Times New Roman"/>
          <w:bCs/>
          <w:color w:val="auto"/>
          <w:sz w:val="24"/>
          <w:szCs w:val="21"/>
          <w:highlight w:val="none"/>
        </w:rPr>
        <w:t>YXGC-1（建筑工程标段）：单个合同价为500万元及以上的房屋建筑工程施工业绩，需提供施工合同、竣工验收报告；</w:t>
      </w:r>
    </w:p>
    <w:p>
      <w:pPr>
        <w:pStyle w:val="21"/>
        <w:snapToGrid w:val="0"/>
        <w:spacing w:line="360" w:lineRule="auto"/>
        <w:ind w:firstLine="480" w:firstLineChars="200"/>
        <w:rPr>
          <w:rStyle w:val="32"/>
          <w:rFonts w:ascii="Times New Roman" w:hAnsi="Times New Roman" w:eastAsia="宋体" w:cs="Times New Roman"/>
          <w:bCs/>
          <w:color w:val="auto"/>
          <w:sz w:val="24"/>
          <w:szCs w:val="21"/>
          <w:highlight w:val="none"/>
        </w:rPr>
      </w:pPr>
      <w:r>
        <w:rPr>
          <w:rStyle w:val="32"/>
          <w:rFonts w:ascii="Times New Roman" w:hAnsi="Times New Roman" w:eastAsia="宋体" w:cs="Times New Roman"/>
          <w:bCs/>
          <w:color w:val="auto"/>
          <w:sz w:val="24"/>
          <w:szCs w:val="21"/>
          <w:highlight w:val="none"/>
        </w:rPr>
        <w:t>YXGC-2（市政公用工程标段）：单个合同价为500万元及以上的市政公用工程（限城市道路、桥梁、隧道、市政管网、供水、雨污水、城镇燃气、热力、环境卫生类）施工业绩，需提供施工合同、竣工验收报告；</w:t>
      </w:r>
    </w:p>
    <w:p>
      <w:pPr>
        <w:pStyle w:val="21"/>
        <w:snapToGrid w:val="0"/>
        <w:spacing w:line="360" w:lineRule="auto"/>
        <w:ind w:firstLine="480" w:firstLineChars="200"/>
        <w:rPr>
          <w:rStyle w:val="32"/>
          <w:rFonts w:ascii="Times New Roman" w:hAnsi="Times New Roman" w:eastAsia="宋体" w:cs="Times New Roman"/>
          <w:bCs/>
          <w:color w:val="auto"/>
          <w:sz w:val="24"/>
          <w:szCs w:val="21"/>
          <w:highlight w:val="none"/>
        </w:rPr>
      </w:pPr>
      <w:r>
        <w:rPr>
          <w:rStyle w:val="32"/>
          <w:rFonts w:ascii="Times New Roman" w:hAnsi="Times New Roman" w:eastAsia="宋体" w:cs="Times New Roman"/>
          <w:bCs/>
          <w:color w:val="auto"/>
          <w:sz w:val="24"/>
          <w:szCs w:val="21"/>
          <w:highlight w:val="none"/>
        </w:rPr>
        <w:t>YXGC-3（公路工程标段）：单个合同价为500万元及以上的公路工程（限路基、路面、桥梁类）施工业绩，需提供施工合同、竣工验收报告；</w:t>
      </w:r>
    </w:p>
    <w:p>
      <w:pPr>
        <w:pStyle w:val="21"/>
        <w:snapToGrid w:val="0"/>
        <w:spacing w:line="360" w:lineRule="auto"/>
        <w:ind w:firstLine="480" w:firstLineChars="200"/>
        <w:rPr>
          <w:rStyle w:val="32"/>
          <w:rFonts w:ascii="Times New Roman" w:hAnsi="Times New Roman" w:eastAsia="宋体" w:cs="Times New Roman"/>
          <w:bCs/>
          <w:color w:val="auto"/>
          <w:sz w:val="24"/>
          <w:szCs w:val="21"/>
          <w:highlight w:val="none"/>
        </w:rPr>
      </w:pPr>
      <w:r>
        <w:rPr>
          <w:rStyle w:val="32"/>
          <w:rFonts w:ascii="Times New Roman" w:hAnsi="Times New Roman" w:eastAsia="宋体" w:cs="Times New Roman"/>
          <w:bCs/>
          <w:color w:val="auto"/>
          <w:sz w:val="24"/>
          <w:szCs w:val="21"/>
          <w:highlight w:val="none"/>
        </w:rPr>
        <w:t>YXGC-4（建筑装修装饰工程标段）：单个合同价为100万元及以上的建筑装修装饰工程施工业绩，需提供施工合同、验收报告；</w:t>
      </w:r>
    </w:p>
    <w:p>
      <w:pPr>
        <w:pStyle w:val="21"/>
        <w:snapToGrid w:val="0"/>
        <w:spacing w:line="360" w:lineRule="auto"/>
        <w:ind w:firstLine="480" w:firstLineChars="200"/>
        <w:rPr>
          <w:rStyle w:val="32"/>
          <w:rFonts w:ascii="Times New Roman" w:hAnsi="Times New Roman" w:eastAsia="宋体" w:cs="Times New Roman"/>
          <w:bCs/>
          <w:color w:val="auto"/>
          <w:sz w:val="24"/>
          <w:szCs w:val="21"/>
          <w:highlight w:val="none"/>
        </w:rPr>
      </w:pPr>
      <w:r>
        <w:rPr>
          <w:rStyle w:val="32"/>
          <w:rFonts w:ascii="Times New Roman" w:hAnsi="Times New Roman" w:eastAsia="宋体" w:cs="Times New Roman"/>
          <w:bCs/>
          <w:color w:val="auto"/>
          <w:sz w:val="24"/>
          <w:szCs w:val="21"/>
          <w:highlight w:val="none"/>
        </w:rPr>
        <w:t>YXGC-5（景观绿化工程标段）：单个合同价为200万元及以上的景观绿化工程施工业绩，需提供施工合同、验收报告；</w:t>
      </w:r>
    </w:p>
    <w:p>
      <w:pPr>
        <w:pStyle w:val="21"/>
        <w:snapToGrid w:val="0"/>
        <w:spacing w:line="360" w:lineRule="auto"/>
        <w:ind w:firstLine="480" w:firstLineChars="200"/>
        <w:rPr>
          <w:rStyle w:val="32"/>
          <w:rFonts w:ascii="Times New Roman" w:hAnsi="Times New Roman" w:eastAsia="宋体" w:cs="Times New Roman"/>
          <w:bCs/>
          <w:color w:val="auto"/>
          <w:sz w:val="24"/>
          <w:szCs w:val="21"/>
          <w:highlight w:val="none"/>
        </w:rPr>
      </w:pPr>
      <w:r>
        <w:rPr>
          <w:rStyle w:val="32"/>
          <w:rFonts w:ascii="Times New Roman" w:hAnsi="Times New Roman" w:eastAsia="宋体" w:cs="Times New Roman"/>
          <w:bCs/>
          <w:color w:val="auto"/>
          <w:sz w:val="24"/>
          <w:szCs w:val="21"/>
          <w:highlight w:val="none"/>
        </w:rPr>
        <w:t>YXGC-6（交通安全设施标段）：单个合同价为200万元及以上的交通安全设施施工业绩，需提供施工合同、竣工验收报告；</w:t>
      </w:r>
    </w:p>
    <w:p>
      <w:pPr>
        <w:adjustRightInd w:val="0"/>
        <w:snapToGrid w:val="0"/>
        <w:spacing w:line="360" w:lineRule="auto"/>
        <w:rPr>
          <w:rFonts w:cs="Times New Roman"/>
          <w:color w:val="auto"/>
          <w:highlight w:val="none"/>
        </w:rPr>
      </w:pPr>
      <w:r>
        <w:rPr>
          <w:rFonts w:cs="Times New Roman"/>
          <w:color w:val="auto"/>
          <w:highlight w:val="none"/>
        </w:rPr>
        <w:t>YXGC-1、2、3标段：</w:t>
      </w:r>
    </w:p>
    <w:tbl>
      <w:tblPr>
        <w:tblStyle w:val="13"/>
        <w:tblW w:w="989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68"/>
        <w:gridCol w:w="658"/>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2"/>
                <w:rFonts w:cs="Times New Roman"/>
                <w:b/>
                <w:bCs/>
                <w:color w:val="auto"/>
                <w:kern w:val="0"/>
                <w:highlight w:val="none"/>
              </w:rPr>
            </w:pPr>
            <w:r>
              <w:rPr>
                <w:rStyle w:val="32"/>
                <w:rFonts w:cs="Times New Roman"/>
                <w:b/>
                <w:bCs/>
                <w:color w:val="auto"/>
                <w:kern w:val="0"/>
                <w:highlight w:val="none"/>
              </w:rPr>
              <w:t>企业业绩</w:t>
            </w:r>
          </w:p>
        </w:tc>
        <w:tc>
          <w:tcPr>
            <w:tcW w:w="65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2"/>
                <w:rFonts w:cs="Times New Roman"/>
                <w:b/>
                <w:bCs/>
                <w:color w:val="auto"/>
                <w:kern w:val="0"/>
                <w:highlight w:val="none"/>
              </w:rPr>
            </w:pPr>
            <w:r>
              <w:rPr>
                <w:rStyle w:val="32"/>
                <w:rFonts w:cs="Times New Roman"/>
                <w:b/>
                <w:bCs/>
                <w:color w:val="auto"/>
                <w:kern w:val="0"/>
                <w:highlight w:val="none"/>
              </w:rPr>
              <w:t>15分</w:t>
            </w:r>
          </w:p>
        </w:tc>
        <w:tc>
          <w:tcPr>
            <w:tcW w:w="8073" w:type="dxa"/>
            <w:tcBorders>
              <w:top w:val="single" w:color="000000" w:sz="4" w:space="0"/>
              <w:left w:val="single" w:color="000000" w:sz="4" w:space="0"/>
              <w:bottom w:val="single" w:color="000000" w:sz="4" w:space="0"/>
              <w:right w:val="single" w:color="000000" w:sz="4" w:space="0"/>
            </w:tcBorders>
            <w:vAlign w:val="center"/>
          </w:tcPr>
          <w:p>
            <w:pPr>
              <w:tabs>
                <w:tab w:val="right" w:pos="2625"/>
              </w:tabs>
              <w:snapToGrid w:val="0"/>
              <w:spacing w:line="440" w:lineRule="exact"/>
              <w:jc w:val="left"/>
              <w:rPr>
                <w:rStyle w:val="32"/>
                <w:rFonts w:cs="Times New Roman"/>
                <w:color w:val="auto"/>
                <w:kern w:val="0"/>
                <w:highlight w:val="none"/>
              </w:rPr>
            </w:pPr>
            <w:r>
              <w:rPr>
                <w:rStyle w:val="32"/>
                <w:rFonts w:cs="Times New Roman"/>
                <w:color w:val="auto"/>
                <w:kern w:val="0"/>
                <w:highlight w:val="none"/>
              </w:rPr>
              <w:t>投标人2018年1月1日以来（以合同签订日期为准）完成过的类似业绩，有一个得1.5分，最多得15分。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2"/>
                <w:rFonts w:cs="Times New Roman"/>
                <w:b/>
                <w:bCs/>
                <w:color w:val="auto"/>
                <w:kern w:val="0"/>
                <w:highlight w:val="none"/>
              </w:rPr>
            </w:pPr>
            <w:r>
              <w:rPr>
                <w:rStyle w:val="32"/>
                <w:rFonts w:cs="Times New Roman"/>
                <w:b/>
                <w:bCs/>
                <w:color w:val="auto"/>
                <w:kern w:val="0"/>
                <w:highlight w:val="none"/>
              </w:rPr>
              <w:t>项目负责人业绩</w:t>
            </w:r>
          </w:p>
        </w:tc>
        <w:tc>
          <w:tcPr>
            <w:tcW w:w="65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2"/>
                <w:rFonts w:cs="Times New Roman"/>
                <w:b/>
                <w:bCs/>
                <w:color w:val="auto"/>
                <w:kern w:val="0"/>
                <w:highlight w:val="none"/>
              </w:rPr>
            </w:pPr>
            <w:r>
              <w:rPr>
                <w:rStyle w:val="32"/>
                <w:rFonts w:cs="Times New Roman"/>
                <w:b/>
                <w:bCs/>
                <w:color w:val="auto"/>
                <w:kern w:val="0"/>
                <w:highlight w:val="none"/>
              </w:rPr>
              <w:t>15分</w:t>
            </w:r>
          </w:p>
        </w:tc>
        <w:tc>
          <w:tcPr>
            <w:tcW w:w="8073" w:type="dxa"/>
            <w:tcBorders>
              <w:top w:val="single" w:color="000000" w:sz="4" w:space="0"/>
              <w:left w:val="single" w:color="000000" w:sz="4" w:space="0"/>
              <w:bottom w:val="single" w:color="000000" w:sz="4" w:space="0"/>
              <w:right w:val="single" w:color="000000" w:sz="4" w:space="0"/>
            </w:tcBorders>
            <w:vAlign w:val="center"/>
          </w:tcPr>
          <w:p>
            <w:pPr>
              <w:tabs>
                <w:tab w:val="right" w:pos="2625"/>
              </w:tabs>
              <w:snapToGrid w:val="0"/>
              <w:spacing w:line="360" w:lineRule="auto"/>
              <w:jc w:val="left"/>
              <w:rPr>
                <w:rStyle w:val="32"/>
                <w:rFonts w:cs="Times New Roman"/>
                <w:color w:val="auto"/>
                <w:kern w:val="0"/>
                <w:highlight w:val="none"/>
              </w:rPr>
            </w:pPr>
            <w:r>
              <w:rPr>
                <w:rStyle w:val="32"/>
                <w:rFonts w:cs="Times New Roman"/>
                <w:color w:val="auto"/>
                <w:kern w:val="0"/>
                <w:highlight w:val="none"/>
              </w:rPr>
              <w:t>投标人所报项目负责人自2018年1月1日以来（以合同签订日期为准），作为项目负责人（项目经理）完成过的类似业绩，有一个得1.5分，最多得15分。投标人所报多个项目负责人的，各项目负责人的业绩可累加；但一个类似业绩，最多只能计算一次；所提供的证明性材料中，须能证明为所报项目负责人的业绩，否则不予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2"/>
                <w:rFonts w:cs="Times New Roman"/>
                <w:b/>
                <w:bCs/>
                <w:color w:val="auto"/>
                <w:kern w:val="0"/>
                <w:highlight w:val="none"/>
              </w:rPr>
            </w:pPr>
            <w:r>
              <w:rPr>
                <w:rStyle w:val="32"/>
                <w:rFonts w:cs="Times New Roman"/>
                <w:b/>
                <w:bCs/>
                <w:color w:val="auto"/>
                <w:kern w:val="0"/>
                <w:highlight w:val="none"/>
              </w:rPr>
              <w:t>项目管理</w:t>
            </w:r>
          </w:p>
          <w:p>
            <w:pPr>
              <w:snapToGrid w:val="0"/>
              <w:spacing w:line="440" w:lineRule="exact"/>
              <w:jc w:val="center"/>
              <w:rPr>
                <w:rStyle w:val="32"/>
                <w:rFonts w:cs="Times New Roman"/>
                <w:b/>
                <w:bCs/>
                <w:color w:val="auto"/>
                <w:kern w:val="0"/>
                <w:highlight w:val="none"/>
              </w:rPr>
            </w:pPr>
            <w:r>
              <w:rPr>
                <w:rStyle w:val="32"/>
                <w:rFonts w:cs="Times New Roman"/>
                <w:b/>
                <w:bCs/>
                <w:color w:val="auto"/>
                <w:kern w:val="0"/>
                <w:highlight w:val="none"/>
              </w:rPr>
              <w:t>机构</w:t>
            </w:r>
          </w:p>
        </w:tc>
        <w:tc>
          <w:tcPr>
            <w:tcW w:w="6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jc w:val="center"/>
              <w:rPr>
                <w:rStyle w:val="32"/>
                <w:rFonts w:cs="Times New Roman"/>
                <w:b/>
                <w:bCs/>
                <w:color w:val="auto"/>
                <w:kern w:val="0"/>
                <w:highlight w:val="none"/>
              </w:rPr>
            </w:pPr>
            <w:r>
              <w:rPr>
                <w:rStyle w:val="32"/>
                <w:rFonts w:cs="Times New Roman"/>
                <w:b/>
                <w:bCs/>
                <w:color w:val="auto"/>
                <w:kern w:val="0"/>
                <w:highlight w:val="none"/>
              </w:rPr>
              <w:t>20分</w:t>
            </w:r>
          </w:p>
        </w:tc>
        <w:tc>
          <w:tcPr>
            <w:tcW w:w="8073" w:type="dxa"/>
            <w:tcBorders>
              <w:top w:val="single" w:color="000000" w:sz="4" w:space="0"/>
              <w:left w:val="single" w:color="000000" w:sz="4" w:space="0"/>
              <w:bottom w:val="single" w:color="000000" w:sz="4" w:space="0"/>
              <w:right w:val="single" w:color="000000" w:sz="4" w:space="0"/>
            </w:tcBorders>
            <w:vAlign w:val="center"/>
          </w:tcPr>
          <w:p>
            <w:pPr>
              <w:numPr>
                <w:ilvl w:val="0"/>
                <w:numId w:val="7"/>
              </w:numPr>
              <w:adjustRightInd w:val="0"/>
              <w:snapToGrid w:val="0"/>
              <w:spacing w:line="360" w:lineRule="auto"/>
              <w:rPr>
                <w:rFonts w:cs="Times New Roman"/>
                <w:color w:val="auto"/>
                <w:highlight w:val="none"/>
              </w:rPr>
            </w:pPr>
            <w:r>
              <w:rPr>
                <w:rFonts w:cs="Times New Roman"/>
                <w:color w:val="auto"/>
                <w:highlight w:val="none"/>
              </w:rPr>
              <w:t>投标人所报项目负责人具有中级职称的，每有1个得0.5分；具有高级及以上职称的，每有1个得1分。本项最多得3分；</w:t>
            </w:r>
            <w:r>
              <w:rPr>
                <w:rFonts w:cs="Times New Roman"/>
                <w:color w:val="auto"/>
                <w:highlight w:val="none"/>
              </w:rPr>
              <w:br w:type="textWrapping"/>
            </w:r>
            <w:r>
              <w:rPr>
                <w:rFonts w:cs="Times New Roman"/>
                <w:color w:val="auto"/>
                <w:highlight w:val="none"/>
              </w:rPr>
              <w:t>2、投标人项目管理团队中，除项目负责人外，每增加1名</w:t>
            </w:r>
            <w:r>
              <w:rPr>
                <w:rFonts w:hint="eastAsia" w:cs="Times New Roman"/>
                <w:color w:val="auto"/>
                <w:highlight w:val="none"/>
                <w:lang w:eastAsia="zh-CN"/>
              </w:rPr>
              <w:t>贰级</w:t>
            </w:r>
            <w:r>
              <w:rPr>
                <w:rFonts w:cs="Times New Roman"/>
                <w:color w:val="auto"/>
                <w:highlight w:val="none"/>
              </w:rPr>
              <w:t>注册建造师（须为所投标段对应专业）的得0.5分；最多得2分；每增加1名一级注册建造师（须为所投标段对应专业）的得1分，最多得2分；每增加1名工程师（建设类）及以上职称的得1分，最多得8分。（注：上述人员不重复得分）</w:t>
            </w:r>
          </w:p>
          <w:p>
            <w:pPr>
              <w:adjustRightInd w:val="0"/>
              <w:snapToGrid w:val="0"/>
              <w:spacing w:line="360" w:lineRule="auto"/>
              <w:rPr>
                <w:rFonts w:eastAsia="仿宋_GB2312" w:cs="Times New Roman"/>
                <w:color w:val="auto"/>
                <w:highlight w:val="none"/>
              </w:rPr>
            </w:pPr>
            <w:r>
              <w:rPr>
                <w:rFonts w:cs="Times New Roman"/>
                <w:color w:val="auto"/>
                <w:highlight w:val="none"/>
              </w:rPr>
              <w:t>3、投标人项目管理团队中，具有有效的安全员C证的，每有1名得1分，最多得5分。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2"/>
                <w:rFonts w:cs="Times New Roman"/>
                <w:b/>
                <w:bCs/>
                <w:color w:val="auto"/>
                <w:kern w:val="0"/>
                <w:highlight w:val="none"/>
              </w:rPr>
            </w:pPr>
            <w:r>
              <w:rPr>
                <w:rStyle w:val="32"/>
                <w:rFonts w:cs="Times New Roman"/>
                <w:b/>
                <w:bCs/>
                <w:color w:val="auto"/>
                <w:kern w:val="0"/>
                <w:highlight w:val="none"/>
              </w:rPr>
              <w:t>企业实力</w:t>
            </w:r>
          </w:p>
        </w:tc>
        <w:tc>
          <w:tcPr>
            <w:tcW w:w="6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jc w:val="center"/>
              <w:rPr>
                <w:rStyle w:val="32"/>
                <w:rFonts w:cs="Times New Roman"/>
                <w:b/>
                <w:bCs/>
                <w:color w:val="auto"/>
                <w:kern w:val="0"/>
                <w:highlight w:val="none"/>
              </w:rPr>
            </w:pPr>
            <w:r>
              <w:rPr>
                <w:rStyle w:val="32"/>
                <w:rFonts w:cs="Times New Roman"/>
                <w:b/>
                <w:bCs/>
                <w:color w:val="auto"/>
                <w:kern w:val="0"/>
                <w:highlight w:val="none"/>
              </w:rPr>
              <w:t>20分</w:t>
            </w:r>
          </w:p>
        </w:tc>
        <w:tc>
          <w:tcPr>
            <w:tcW w:w="80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eastAsia="仿宋_GB2312" w:cs="Times New Roman"/>
                <w:color w:val="auto"/>
                <w:highlight w:val="none"/>
              </w:rPr>
            </w:pPr>
            <w:r>
              <w:rPr>
                <w:rFonts w:cs="Times New Roman"/>
                <w:color w:val="auto"/>
                <w:highlight w:val="none"/>
              </w:rPr>
              <w:t>根据本项目投标人2016年1月1日以来承接的类似工程（以获奖时间为准）地市、省部、国家级行政主管部门或相应协会颁发的奖进行横向比较，酌情打分。对应奖项包括但不限于：紫琅杯、金陵杯、姑苏杯、长城杯、白玉兰杯、海河杯、巴渝杯、金匠奖、龙江杯、长白山杯、世纪杯、草原杯、汾水杯、泰山杯、长安杯、西夏杯、江河源杯、天山奖、雪莲杯、安济杯、中州杯、扬子杯、黄山杯、钱江杯、杜鹃花杯、楚天杯、芙蓉奖、天府杯、黄果树杯、闽江杯、鲁班奖、詹天佑奖、全国建筑工程装饰奖、绿色建筑创新奖、中国建筑工程钢结构金奖、工程总承包金钥匙奖、国家优质工程奖、平安工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32"/>
                <w:rFonts w:cs="Times New Roman"/>
                <w:b/>
                <w:bCs/>
                <w:color w:val="auto"/>
                <w:highlight w:val="none"/>
              </w:rPr>
            </w:pPr>
            <w:r>
              <w:rPr>
                <w:rStyle w:val="32"/>
                <w:rFonts w:cs="Times New Roman"/>
                <w:b/>
                <w:bCs/>
                <w:color w:val="auto"/>
                <w:kern w:val="0"/>
                <w:highlight w:val="none"/>
              </w:rPr>
              <w:t>施工管理与企业管理</w:t>
            </w:r>
          </w:p>
        </w:tc>
        <w:tc>
          <w:tcPr>
            <w:tcW w:w="65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Style w:val="32"/>
                <w:rFonts w:cs="Times New Roman"/>
                <w:b/>
                <w:bCs/>
                <w:color w:val="auto"/>
                <w:highlight w:val="none"/>
              </w:rPr>
            </w:pPr>
            <w:r>
              <w:rPr>
                <w:rStyle w:val="32"/>
                <w:rFonts w:cs="Times New Roman"/>
                <w:b/>
                <w:bCs/>
                <w:color w:val="auto"/>
                <w:highlight w:val="none"/>
              </w:rPr>
              <w:t>6分</w:t>
            </w:r>
          </w:p>
        </w:tc>
        <w:tc>
          <w:tcPr>
            <w:tcW w:w="8073" w:type="dxa"/>
            <w:tcBorders>
              <w:top w:val="single" w:color="000000" w:sz="4" w:space="0"/>
              <w:left w:val="single" w:color="000000" w:sz="4" w:space="0"/>
              <w:bottom w:val="single" w:color="000000" w:sz="4" w:space="0"/>
              <w:right w:val="single" w:color="000000" w:sz="4" w:space="0"/>
            </w:tcBorders>
            <w:vAlign w:val="center"/>
          </w:tcPr>
          <w:p>
            <w:pPr>
              <w:tabs>
                <w:tab w:val="right" w:pos="2625"/>
              </w:tabs>
              <w:snapToGrid w:val="0"/>
              <w:spacing w:line="440" w:lineRule="exact"/>
              <w:jc w:val="left"/>
              <w:rPr>
                <w:rStyle w:val="32"/>
                <w:rFonts w:cs="Times New Roman"/>
                <w:color w:val="auto"/>
                <w:kern w:val="0"/>
                <w:highlight w:val="none"/>
              </w:rPr>
            </w:pPr>
            <w:r>
              <w:rPr>
                <w:rStyle w:val="32"/>
                <w:rFonts w:cs="Times New Roman"/>
                <w:color w:val="auto"/>
                <w:kern w:val="0"/>
                <w:highlight w:val="none"/>
              </w:rPr>
              <w:t>对工程施工的总体思路的全面、先进、合理性，由评委横向比较酌情打分。（优：6-4分；良： 4-2分；差：2-0分）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32"/>
                <w:rFonts w:cs="Times New Roman"/>
                <w:b/>
                <w:bCs/>
                <w:color w:val="auto"/>
                <w:highlight w:val="none"/>
              </w:rPr>
            </w:pPr>
          </w:p>
        </w:tc>
        <w:tc>
          <w:tcPr>
            <w:tcW w:w="65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Style w:val="32"/>
                <w:rFonts w:cs="Times New Roman"/>
                <w:b/>
                <w:bCs/>
                <w:color w:val="auto"/>
                <w:highlight w:val="none"/>
              </w:rPr>
            </w:pPr>
            <w:r>
              <w:rPr>
                <w:rStyle w:val="32"/>
                <w:rFonts w:cs="Times New Roman"/>
                <w:b/>
                <w:bCs/>
                <w:color w:val="auto"/>
                <w:highlight w:val="none"/>
              </w:rPr>
              <w:t>6分</w:t>
            </w:r>
          </w:p>
        </w:tc>
        <w:tc>
          <w:tcPr>
            <w:tcW w:w="8073" w:type="dxa"/>
            <w:tcBorders>
              <w:top w:val="single" w:color="000000" w:sz="4" w:space="0"/>
              <w:left w:val="single" w:color="000000" w:sz="4" w:space="0"/>
              <w:bottom w:val="single" w:color="000000" w:sz="4" w:space="0"/>
              <w:right w:val="single" w:color="000000" w:sz="4" w:space="0"/>
            </w:tcBorders>
            <w:vAlign w:val="center"/>
          </w:tcPr>
          <w:p>
            <w:pPr>
              <w:tabs>
                <w:tab w:val="right" w:pos="2625"/>
              </w:tabs>
              <w:snapToGrid w:val="0"/>
              <w:spacing w:line="440" w:lineRule="exact"/>
              <w:jc w:val="left"/>
              <w:rPr>
                <w:rStyle w:val="32"/>
                <w:rFonts w:cs="Times New Roman"/>
                <w:color w:val="auto"/>
                <w:kern w:val="0"/>
                <w:highlight w:val="none"/>
              </w:rPr>
            </w:pPr>
            <w:r>
              <w:rPr>
                <w:rStyle w:val="32"/>
                <w:rFonts w:cs="Times New Roman"/>
                <w:color w:val="auto"/>
                <w:kern w:val="0"/>
                <w:highlight w:val="none"/>
              </w:rPr>
              <w:t>本工程管理过程中的关键点、难点的分析和对策。根据投标人对本项目关键点、难点的认识及对策的全面、科学、合理性，由评委横向比较酌情打分（优：6-4分；良： 4-2分；差：2-0分）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32"/>
                <w:rFonts w:cs="Times New Roman"/>
                <w:b/>
                <w:bCs/>
                <w:color w:val="auto"/>
                <w:highlight w:val="none"/>
              </w:rPr>
            </w:pPr>
          </w:p>
        </w:tc>
        <w:tc>
          <w:tcPr>
            <w:tcW w:w="65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Style w:val="32"/>
                <w:rFonts w:cs="Times New Roman"/>
                <w:b/>
                <w:bCs/>
                <w:color w:val="auto"/>
                <w:highlight w:val="none"/>
              </w:rPr>
            </w:pPr>
            <w:r>
              <w:rPr>
                <w:rStyle w:val="32"/>
                <w:rFonts w:cs="Times New Roman"/>
                <w:b/>
                <w:bCs/>
                <w:color w:val="auto"/>
                <w:highlight w:val="none"/>
              </w:rPr>
              <w:t>6分</w:t>
            </w:r>
          </w:p>
        </w:tc>
        <w:tc>
          <w:tcPr>
            <w:tcW w:w="8073" w:type="dxa"/>
            <w:tcBorders>
              <w:top w:val="single" w:color="000000" w:sz="4" w:space="0"/>
              <w:left w:val="single" w:color="000000" w:sz="4" w:space="0"/>
              <w:bottom w:val="single" w:color="000000" w:sz="4" w:space="0"/>
              <w:right w:val="single" w:color="000000" w:sz="4" w:space="0"/>
            </w:tcBorders>
            <w:vAlign w:val="center"/>
          </w:tcPr>
          <w:p>
            <w:pPr>
              <w:tabs>
                <w:tab w:val="right" w:pos="2625"/>
              </w:tabs>
              <w:snapToGrid w:val="0"/>
              <w:spacing w:line="440" w:lineRule="exact"/>
              <w:jc w:val="left"/>
              <w:rPr>
                <w:rStyle w:val="32"/>
                <w:rFonts w:cs="Times New Roman"/>
                <w:color w:val="auto"/>
                <w:kern w:val="0"/>
                <w:highlight w:val="none"/>
              </w:rPr>
            </w:pPr>
            <w:r>
              <w:rPr>
                <w:rStyle w:val="32"/>
                <w:rFonts w:cs="Times New Roman"/>
                <w:color w:val="auto"/>
                <w:kern w:val="0"/>
                <w:highlight w:val="none"/>
              </w:rPr>
              <w:t>本工程质量管理、成本控制方案。根据入库招标项目的特点，投标人对施工质量管理、成本控制措施的全面、科学、合理性，由评委横向比较酌情打分（优：6-4分；良： 4-2分；差：2-0分）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32"/>
                <w:rFonts w:cs="Times New Roman"/>
                <w:b/>
                <w:bCs/>
                <w:color w:val="auto"/>
                <w:highlight w:val="none"/>
              </w:rPr>
            </w:pPr>
          </w:p>
        </w:tc>
        <w:tc>
          <w:tcPr>
            <w:tcW w:w="65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Style w:val="32"/>
                <w:rFonts w:cs="Times New Roman"/>
                <w:b/>
                <w:bCs/>
                <w:color w:val="auto"/>
                <w:highlight w:val="none"/>
              </w:rPr>
            </w:pPr>
            <w:r>
              <w:rPr>
                <w:rStyle w:val="32"/>
                <w:rFonts w:cs="Times New Roman"/>
                <w:b/>
                <w:bCs/>
                <w:color w:val="auto"/>
                <w:highlight w:val="none"/>
              </w:rPr>
              <w:t>6分</w:t>
            </w:r>
          </w:p>
        </w:tc>
        <w:tc>
          <w:tcPr>
            <w:tcW w:w="8073" w:type="dxa"/>
            <w:tcBorders>
              <w:top w:val="single" w:color="000000" w:sz="4" w:space="0"/>
              <w:left w:val="single" w:color="000000" w:sz="4" w:space="0"/>
              <w:bottom w:val="single" w:color="000000" w:sz="4" w:space="0"/>
              <w:right w:val="single" w:color="000000" w:sz="4" w:space="0"/>
            </w:tcBorders>
            <w:vAlign w:val="center"/>
          </w:tcPr>
          <w:p>
            <w:pPr>
              <w:tabs>
                <w:tab w:val="right" w:pos="2625"/>
              </w:tabs>
              <w:snapToGrid w:val="0"/>
              <w:spacing w:line="440" w:lineRule="exact"/>
              <w:jc w:val="left"/>
              <w:rPr>
                <w:rStyle w:val="32"/>
                <w:rFonts w:cs="Times New Roman"/>
                <w:color w:val="auto"/>
                <w:kern w:val="0"/>
                <w:highlight w:val="none"/>
              </w:rPr>
            </w:pPr>
            <w:r>
              <w:rPr>
                <w:rStyle w:val="32"/>
                <w:rFonts w:cs="Times New Roman"/>
                <w:color w:val="auto"/>
                <w:kern w:val="0"/>
                <w:highlight w:val="none"/>
              </w:rPr>
              <w:t>工程施工的安全、文明作业方案。根据投标人对工程施工的安全、文明施工作业方案、保障措施的全面、科学、合理性，由评委横向比较酌情打分（优：6-4分；良： 4-2分；差：2-0分）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2" w:hRule="atLeast"/>
        </w:trPr>
        <w:tc>
          <w:tcPr>
            <w:tcW w:w="1168" w:type="dxa"/>
            <w:tcBorders>
              <w:top w:val="single" w:color="000000" w:sz="4" w:space="0"/>
              <w:left w:val="single" w:color="000000" w:sz="4" w:space="0"/>
              <w:bottom w:val="single" w:color="auto" w:sz="4" w:space="0"/>
              <w:right w:val="single" w:color="000000" w:sz="4" w:space="0"/>
            </w:tcBorders>
            <w:vAlign w:val="center"/>
          </w:tcPr>
          <w:p>
            <w:pPr>
              <w:snapToGrid w:val="0"/>
              <w:spacing w:line="440" w:lineRule="exact"/>
              <w:rPr>
                <w:rStyle w:val="32"/>
                <w:rFonts w:cs="Times New Roman"/>
                <w:b/>
                <w:bCs/>
                <w:color w:val="auto"/>
                <w:highlight w:val="none"/>
              </w:rPr>
            </w:pPr>
            <w:r>
              <w:rPr>
                <w:rStyle w:val="32"/>
                <w:rFonts w:cs="Times New Roman"/>
                <w:b/>
                <w:bCs/>
                <w:color w:val="auto"/>
                <w:highlight w:val="none"/>
              </w:rPr>
              <w:t>本地化服务</w:t>
            </w:r>
          </w:p>
        </w:tc>
        <w:tc>
          <w:tcPr>
            <w:tcW w:w="658" w:type="dxa"/>
            <w:tcBorders>
              <w:top w:val="single" w:color="000000" w:sz="4" w:space="0"/>
              <w:left w:val="single" w:color="000000" w:sz="4" w:space="0"/>
              <w:bottom w:val="single" w:color="auto" w:sz="4" w:space="0"/>
              <w:right w:val="single" w:color="000000" w:sz="4" w:space="0"/>
            </w:tcBorders>
            <w:vAlign w:val="center"/>
          </w:tcPr>
          <w:p>
            <w:pPr>
              <w:snapToGrid w:val="0"/>
              <w:spacing w:line="440" w:lineRule="exact"/>
              <w:jc w:val="left"/>
              <w:rPr>
                <w:rStyle w:val="32"/>
                <w:rFonts w:cs="Times New Roman"/>
                <w:b/>
                <w:bCs/>
                <w:color w:val="auto"/>
                <w:kern w:val="0"/>
                <w:highlight w:val="none"/>
              </w:rPr>
            </w:pPr>
            <w:r>
              <w:rPr>
                <w:rStyle w:val="32"/>
                <w:rFonts w:cs="Times New Roman"/>
                <w:b/>
                <w:bCs/>
                <w:color w:val="auto"/>
                <w:kern w:val="0"/>
                <w:highlight w:val="none"/>
              </w:rPr>
              <w:t>6分</w:t>
            </w:r>
          </w:p>
        </w:tc>
        <w:tc>
          <w:tcPr>
            <w:tcW w:w="8073" w:type="dxa"/>
            <w:tcBorders>
              <w:top w:val="single" w:color="000000" w:sz="4" w:space="0"/>
              <w:left w:val="single" w:color="000000" w:sz="4" w:space="0"/>
              <w:bottom w:val="single" w:color="auto" w:sz="4" w:space="0"/>
              <w:right w:val="single" w:color="000000" w:sz="4" w:space="0"/>
            </w:tcBorders>
            <w:vAlign w:val="center"/>
          </w:tcPr>
          <w:p>
            <w:pPr>
              <w:tabs>
                <w:tab w:val="right" w:pos="2625"/>
              </w:tabs>
              <w:snapToGrid w:val="0"/>
              <w:spacing w:line="440" w:lineRule="exact"/>
              <w:jc w:val="left"/>
              <w:rPr>
                <w:rStyle w:val="32"/>
                <w:rFonts w:cs="Times New Roman"/>
                <w:color w:val="auto"/>
                <w:kern w:val="0"/>
                <w:highlight w:val="none"/>
              </w:rPr>
            </w:pPr>
            <w:r>
              <w:rPr>
                <w:rStyle w:val="32"/>
                <w:rFonts w:cs="Times New Roman"/>
                <w:color w:val="auto"/>
                <w:kern w:val="0"/>
                <w:highlight w:val="none"/>
              </w:rPr>
              <w:t>根据本此入库招标的特点，投标人须有能力在项目所在地提供服务，为此供应商应提供详细的本地化服务方案。评委根据供应商提供的本地化服务方案优劣，酌情打分，（优：6-4分；良： 4-2分；差：2-0分）。</w:t>
            </w:r>
          </w:p>
        </w:tc>
      </w:tr>
    </w:tbl>
    <w:p>
      <w:pPr>
        <w:adjustRightInd w:val="0"/>
        <w:snapToGrid w:val="0"/>
        <w:spacing w:line="360" w:lineRule="auto"/>
        <w:rPr>
          <w:rFonts w:cs="Times New Roman"/>
          <w:color w:val="auto"/>
          <w:highlight w:val="none"/>
        </w:rPr>
      </w:pPr>
      <w:r>
        <w:rPr>
          <w:rFonts w:cs="Times New Roman"/>
          <w:color w:val="auto"/>
          <w:highlight w:val="none"/>
        </w:rPr>
        <w:t>YXGC-4、5、6标段：</w:t>
      </w:r>
    </w:p>
    <w:tbl>
      <w:tblPr>
        <w:tblStyle w:val="13"/>
        <w:tblW w:w="989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68"/>
        <w:gridCol w:w="658"/>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2"/>
                <w:rFonts w:cs="Times New Roman"/>
                <w:b/>
                <w:bCs/>
                <w:color w:val="auto"/>
                <w:kern w:val="0"/>
                <w:highlight w:val="none"/>
              </w:rPr>
            </w:pPr>
            <w:r>
              <w:rPr>
                <w:rStyle w:val="32"/>
                <w:rFonts w:cs="Times New Roman"/>
                <w:b/>
                <w:bCs/>
                <w:color w:val="auto"/>
                <w:kern w:val="0"/>
                <w:highlight w:val="none"/>
              </w:rPr>
              <w:t>企业业绩</w:t>
            </w:r>
          </w:p>
        </w:tc>
        <w:tc>
          <w:tcPr>
            <w:tcW w:w="65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2"/>
                <w:rFonts w:cs="Times New Roman"/>
                <w:b/>
                <w:bCs/>
                <w:color w:val="auto"/>
                <w:kern w:val="0"/>
                <w:highlight w:val="none"/>
              </w:rPr>
            </w:pPr>
            <w:r>
              <w:rPr>
                <w:rStyle w:val="32"/>
                <w:rFonts w:cs="Times New Roman"/>
                <w:b/>
                <w:bCs/>
                <w:color w:val="auto"/>
                <w:kern w:val="0"/>
                <w:highlight w:val="none"/>
              </w:rPr>
              <w:t>15分</w:t>
            </w:r>
          </w:p>
        </w:tc>
        <w:tc>
          <w:tcPr>
            <w:tcW w:w="8073" w:type="dxa"/>
            <w:tcBorders>
              <w:top w:val="single" w:color="000000" w:sz="4" w:space="0"/>
              <w:left w:val="single" w:color="000000" w:sz="4" w:space="0"/>
              <w:bottom w:val="single" w:color="000000" w:sz="4" w:space="0"/>
              <w:right w:val="single" w:color="000000" w:sz="4" w:space="0"/>
            </w:tcBorders>
            <w:vAlign w:val="center"/>
          </w:tcPr>
          <w:p>
            <w:pPr>
              <w:tabs>
                <w:tab w:val="right" w:pos="2625"/>
              </w:tabs>
              <w:snapToGrid w:val="0"/>
              <w:spacing w:line="440" w:lineRule="exact"/>
              <w:jc w:val="left"/>
              <w:rPr>
                <w:rStyle w:val="32"/>
                <w:rFonts w:cs="Times New Roman"/>
                <w:color w:val="auto"/>
                <w:kern w:val="0"/>
                <w:highlight w:val="none"/>
              </w:rPr>
            </w:pPr>
            <w:r>
              <w:rPr>
                <w:rStyle w:val="32"/>
                <w:rFonts w:cs="Times New Roman"/>
                <w:color w:val="auto"/>
                <w:kern w:val="0"/>
                <w:highlight w:val="none"/>
              </w:rPr>
              <w:t>投标人2018年1月1日以来（以合同签订日期为准）完成过的类似业绩，有一个得1.5分，最多得15分。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2"/>
                <w:rFonts w:cs="Times New Roman"/>
                <w:b/>
                <w:bCs/>
                <w:color w:val="auto"/>
                <w:kern w:val="0"/>
                <w:highlight w:val="none"/>
              </w:rPr>
            </w:pPr>
            <w:r>
              <w:rPr>
                <w:rStyle w:val="32"/>
                <w:rFonts w:cs="Times New Roman"/>
                <w:b/>
                <w:bCs/>
                <w:color w:val="auto"/>
                <w:kern w:val="0"/>
                <w:highlight w:val="none"/>
              </w:rPr>
              <w:t>项目负责人业绩</w:t>
            </w:r>
          </w:p>
        </w:tc>
        <w:tc>
          <w:tcPr>
            <w:tcW w:w="65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2"/>
                <w:rFonts w:cs="Times New Roman"/>
                <w:b/>
                <w:bCs/>
                <w:color w:val="auto"/>
                <w:kern w:val="0"/>
                <w:highlight w:val="none"/>
              </w:rPr>
            </w:pPr>
            <w:r>
              <w:rPr>
                <w:rStyle w:val="32"/>
                <w:rFonts w:cs="Times New Roman"/>
                <w:b/>
                <w:bCs/>
                <w:color w:val="auto"/>
                <w:kern w:val="0"/>
                <w:highlight w:val="none"/>
              </w:rPr>
              <w:t>15分</w:t>
            </w:r>
          </w:p>
        </w:tc>
        <w:tc>
          <w:tcPr>
            <w:tcW w:w="8073" w:type="dxa"/>
            <w:tcBorders>
              <w:top w:val="single" w:color="000000" w:sz="4" w:space="0"/>
              <w:left w:val="single" w:color="000000" w:sz="4" w:space="0"/>
              <w:bottom w:val="single" w:color="000000" w:sz="4" w:space="0"/>
              <w:right w:val="single" w:color="000000" w:sz="4" w:space="0"/>
            </w:tcBorders>
            <w:vAlign w:val="center"/>
          </w:tcPr>
          <w:p>
            <w:pPr>
              <w:tabs>
                <w:tab w:val="right" w:pos="2625"/>
              </w:tabs>
              <w:snapToGrid w:val="0"/>
              <w:spacing w:line="360" w:lineRule="auto"/>
              <w:jc w:val="left"/>
              <w:rPr>
                <w:rStyle w:val="32"/>
                <w:rFonts w:cs="Times New Roman"/>
                <w:color w:val="auto"/>
                <w:kern w:val="0"/>
                <w:highlight w:val="none"/>
              </w:rPr>
            </w:pPr>
            <w:r>
              <w:rPr>
                <w:rStyle w:val="32"/>
                <w:rFonts w:cs="Times New Roman"/>
                <w:color w:val="auto"/>
                <w:kern w:val="0"/>
                <w:highlight w:val="none"/>
              </w:rPr>
              <w:t>投标人所报项目负责人自2018年1月1日以来（以合同签订日期为准），作为项目负责人（项目经理）完成过的类似业绩，有一个得1.5分，最多得15分。投标人所报多个项目负责人的，各项目负责人的业绩可累加；但一个类似业绩，最多只能计算一次；所提供的证明性材料中，须能证明为所报项目负责人的业绩，否则不予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2"/>
                <w:rFonts w:cs="Times New Roman"/>
                <w:b/>
                <w:bCs/>
                <w:color w:val="auto"/>
                <w:kern w:val="0"/>
                <w:highlight w:val="none"/>
              </w:rPr>
            </w:pPr>
            <w:r>
              <w:rPr>
                <w:rStyle w:val="32"/>
                <w:rFonts w:cs="Times New Roman"/>
                <w:b/>
                <w:bCs/>
                <w:color w:val="auto"/>
                <w:kern w:val="0"/>
                <w:highlight w:val="none"/>
              </w:rPr>
              <w:t>项目管理</w:t>
            </w:r>
          </w:p>
          <w:p>
            <w:pPr>
              <w:snapToGrid w:val="0"/>
              <w:spacing w:line="440" w:lineRule="exact"/>
              <w:jc w:val="center"/>
              <w:rPr>
                <w:rStyle w:val="32"/>
                <w:rFonts w:cs="Times New Roman"/>
                <w:b/>
                <w:bCs/>
                <w:color w:val="auto"/>
                <w:kern w:val="0"/>
                <w:highlight w:val="none"/>
              </w:rPr>
            </w:pPr>
            <w:r>
              <w:rPr>
                <w:rStyle w:val="32"/>
                <w:rFonts w:cs="Times New Roman"/>
                <w:b/>
                <w:bCs/>
                <w:color w:val="auto"/>
                <w:kern w:val="0"/>
                <w:highlight w:val="none"/>
              </w:rPr>
              <w:t>机构</w:t>
            </w:r>
          </w:p>
        </w:tc>
        <w:tc>
          <w:tcPr>
            <w:tcW w:w="6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jc w:val="center"/>
              <w:rPr>
                <w:rStyle w:val="32"/>
                <w:rFonts w:cs="Times New Roman"/>
                <w:b/>
                <w:bCs/>
                <w:color w:val="auto"/>
                <w:kern w:val="0"/>
                <w:highlight w:val="none"/>
              </w:rPr>
            </w:pPr>
            <w:r>
              <w:rPr>
                <w:rStyle w:val="32"/>
                <w:rFonts w:cs="Times New Roman"/>
                <w:b/>
                <w:bCs/>
                <w:color w:val="auto"/>
                <w:kern w:val="0"/>
                <w:highlight w:val="none"/>
              </w:rPr>
              <w:t>20分</w:t>
            </w:r>
          </w:p>
        </w:tc>
        <w:tc>
          <w:tcPr>
            <w:tcW w:w="80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cs="Times New Roman"/>
                <w:color w:val="auto"/>
                <w:highlight w:val="none"/>
              </w:rPr>
            </w:pPr>
            <w:r>
              <w:rPr>
                <w:rFonts w:cs="Times New Roman"/>
                <w:color w:val="auto"/>
                <w:highlight w:val="none"/>
              </w:rPr>
              <w:t>YXGC-4、6标段：</w:t>
            </w:r>
          </w:p>
          <w:p>
            <w:pPr>
              <w:numPr>
                <w:ilvl w:val="0"/>
                <w:numId w:val="7"/>
              </w:numPr>
              <w:adjustRightInd w:val="0"/>
              <w:snapToGrid w:val="0"/>
              <w:spacing w:line="360" w:lineRule="auto"/>
              <w:rPr>
                <w:rFonts w:cs="Times New Roman"/>
                <w:color w:val="auto"/>
                <w:highlight w:val="none"/>
              </w:rPr>
            </w:pPr>
            <w:r>
              <w:rPr>
                <w:rFonts w:cs="Times New Roman"/>
                <w:color w:val="auto"/>
                <w:highlight w:val="none"/>
              </w:rPr>
              <w:t>投标人所报项目负责人具有中级职称的，每有1个得0.5分；具有高级及以上职称的，每有1个得1分。本项最多得3分；</w:t>
            </w:r>
            <w:r>
              <w:rPr>
                <w:rFonts w:cs="Times New Roman"/>
                <w:color w:val="auto"/>
                <w:highlight w:val="none"/>
              </w:rPr>
              <w:br w:type="textWrapping"/>
            </w:r>
            <w:r>
              <w:rPr>
                <w:rFonts w:cs="Times New Roman"/>
                <w:color w:val="auto"/>
                <w:highlight w:val="none"/>
              </w:rPr>
              <w:t>2、投标人项目管理团队中，除项目负责人外，每增加1名</w:t>
            </w:r>
            <w:r>
              <w:rPr>
                <w:rFonts w:hint="eastAsia" w:cs="Times New Roman"/>
                <w:color w:val="auto"/>
                <w:highlight w:val="none"/>
                <w:lang w:eastAsia="zh-CN"/>
              </w:rPr>
              <w:t>贰级</w:t>
            </w:r>
            <w:r>
              <w:rPr>
                <w:rFonts w:cs="Times New Roman"/>
                <w:color w:val="auto"/>
                <w:highlight w:val="none"/>
              </w:rPr>
              <w:t>注册建造师（须为所投标段对应专业）的得0.5分；最多得2分；每增加1名一级注册建造师（须为所投标段对应专业）的得1分，最多得2分；每增加1名工程师（建设类）及以上职称的得1分，最多得8分。（注：上述人员不重复得分）</w:t>
            </w:r>
          </w:p>
          <w:p>
            <w:pPr>
              <w:adjustRightInd w:val="0"/>
              <w:snapToGrid w:val="0"/>
              <w:spacing w:line="360" w:lineRule="auto"/>
              <w:rPr>
                <w:rFonts w:cs="Times New Roman"/>
                <w:color w:val="auto"/>
                <w:highlight w:val="none"/>
              </w:rPr>
            </w:pPr>
            <w:r>
              <w:rPr>
                <w:rFonts w:cs="Times New Roman"/>
                <w:color w:val="auto"/>
                <w:highlight w:val="none"/>
              </w:rPr>
              <w:t>3、投标人项目管理团队中，具有有效的安全员C证的，每有1名得1分，最多得5分。</w:t>
            </w:r>
          </w:p>
          <w:p>
            <w:pPr>
              <w:adjustRightInd w:val="0"/>
              <w:snapToGrid w:val="0"/>
              <w:spacing w:line="360" w:lineRule="auto"/>
              <w:rPr>
                <w:rFonts w:cs="Times New Roman"/>
                <w:color w:val="auto"/>
                <w:highlight w:val="none"/>
              </w:rPr>
            </w:pPr>
            <w:r>
              <w:rPr>
                <w:rFonts w:cs="Times New Roman"/>
                <w:color w:val="auto"/>
                <w:highlight w:val="none"/>
              </w:rPr>
              <w:t>YXGC-5标段：</w:t>
            </w:r>
          </w:p>
          <w:p>
            <w:pPr>
              <w:adjustRightInd w:val="0"/>
              <w:snapToGrid w:val="0"/>
              <w:spacing w:line="360" w:lineRule="auto"/>
              <w:rPr>
                <w:rFonts w:cs="Times New Roman"/>
                <w:color w:val="auto"/>
                <w:highlight w:val="none"/>
              </w:rPr>
            </w:pPr>
            <w:r>
              <w:rPr>
                <w:rFonts w:cs="Times New Roman"/>
                <w:color w:val="auto"/>
                <w:highlight w:val="none"/>
              </w:rPr>
              <w:t>1、投标人所报项目负责人具有中级职称的，每有1个得1分；具有高级及以上职称的，每有1个得2分。本项最多得5分；</w:t>
            </w:r>
          </w:p>
          <w:p>
            <w:pPr>
              <w:adjustRightInd w:val="0"/>
              <w:snapToGrid w:val="0"/>
              <w:spacing w:line="360" w:lineRule="auto"/>
              <w:rPr>
                <w:rFonts w:eastAsia="仿宋_GB2312" w:cs="Times New Roman"/>
                <w:color w:val="auto"/>
                <w:highlight w:val="none"/>
              </w:rPr>
            </w:pPr>
            <w:r>
              <w:rPr>
                <w:rFonts w:cs="Times New Roman"/>
                <w:color w:val="auto"/>
                <w:highlight w:val="none"/>
              </w:rPr>
              <w:t>2、投标人项目管理团队中，除项目负责人外，每增加1名市政公用工程</w:t>
            </w:r>
            <w:r>
              <w:rPr>
                <w:rFonts w:hint="eastAsia" w:cs="Times New Roman"/>
                <w:color w:val="auto"/>
                <w:highlight w:val="none"/>
                <w:lang w:eastAsia="zh-CN"/>
              </w:rPr>
              <w:t>贰级</w:t>
            </w:r>
            <w:r>
              <w:rPr>
                <w:rFonts w:cs="Times New Roman"/>
                <w:color w:val="auto"/>
                <w:highlight w:val="none"/>
              </w:rPr>
              <w:t>及以上注册建造师资格或园林绿化及相关专业中级及以上职称的得1.5分，最多得15分。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32"/>
                <w:rFonts w:cs="Times New Roman"/>
                <w:b/>
                <w:bCs/>
                <w:color w:val="auto"/>
                <w:highlight w:val="none"/>
              </w:rPr>
            </w:pPr>
            <w:r>
              <w:rPr>
                <w:rStyle w:val="32"/>
                <w:rFonts w:cs="Times New Roman"/>
                <w:b/>
                <w:bCs/>
                <w:color w:val="auto"/>
                <w:kern w:val="0"/>
                <w:highlight w:val="none"/>
              </w:rPr>
              <w:t>施工管理与企业管理</w:t>
            </w:r>
          </w:p>
        </w:tc>
        <w:tc>
          <w:tcPr>
            <w:tcW w:w="65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Style w:val="32"/>
                <w:rFonts w:cs="Times New Roman"/>
                <w:b/>
                <w:bCs/>
                <w:color w:val="auto"/>
                <w:highlight w:val="none"/>
              </w:rPr>
            </w:pPr>
            <w:r>
              <w:rPr>
                <w:rStyle w:val="32"/>
                <w:rFonts w:cs="Times New Roman"/>
                <w:b/>
                <w:bCs/>
                <w:color w:val="auto"/>
                <w:highlight w:val="none"/>
              </w:rPr>
              <w:t>10分</w:t>
            </w:r>
          </w:p>
        </w:tc>
        <w:tc>
          <w:tcPr>
            <w:tcW w:w="8073" w:type="dxa"/>
            <w:tcBorders>
              <w:top w:val="single" w:color="000000" w:sz="4" w:space="0"/>
              <w:left w:val="single" w:color="000000" w:sz="4" w:space="0"/>
              <w:bottom w:val="single" w:color="000000" w:sz="4" w:space="0"/>
              <w:right w:val="single" w:color="000000" w:sz="4" w:space="0"/>
            </w:tcBorders>
            <w:vAlign w:val="center"/>
          </w:tcPr>
          <w:p>
            <w:pPr>
              <w:tabs>
                <w:tab w:val="right" w:pos="2625"/>
              </w:tabs>
              <w:snapToGrid w:val="0"/>
              <w:spacing w:line="440" w:lineRule="exact"/>
              <w:jc w:val="left"/>
              <w:rPr>
                <w:rStyle w:val="32"/>
                <w:rFonts w:cs="Times New Roman"/>
                <w:color w:val="auto"/>
                <w:kern w:val="0"/>
                <w:highlight w:val="none"/>
              </w:rPr>
            </w:pPr>
            <w:r>
              <w:rPr>
                <w:rStyle w:val="32"/>
                <w:rFonts w:cs="Times New Roman"/>
                <w:color w:val="auto"/>
                <w:kern w:val="0"/>
                <w:highlight w:val="none"/>
              </w:rPr>
              <w:t>对工程施工的总体思路的全面、先进、合理性，由评委横向比较酌情打分。（优：10-7分；良： 7-3分；差：3-0分）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32"/>
                <w:rFonts w:cs="Times New Roman"/>
                <w:b/>
                <w:bCs/>
                <w:color w:val="auto"/>
                <w:highlight w:val="none"/>
              </w:rPr>
            </w:pPr>
          </w:p>
        </w:tc>
        <w:tc>
          <w:tcPr>
            <w:tcW w:w="65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Style w:val="32"/>
                <w:rFonts w:cs="Times New Roman"/>
                <w:b/>
                <w:bCs/>
                <w:color w:val="auto"/>
                <w:highlight w:val="none"/>
              </w:rPr>
            </w:pPr>
            <w:r>
              <w:rPr>
                <w:rStyle w:val="32"/>
                <w:rFonts w:cs="Times New Roman"/>
                <w:b/>
                <w:bCs/>
                <w:color w:val="auto"/>
                <w:highlight w:val="none"/>
              </w:rPr>
              <w:t>10分</w:t>
            </w:r>
          </w:p>
        </w:tc>
        <w:tc>
          <w:tcPr>
            <w:tcW w:w="8073" w:type="dxa"/>
            <w:tcBorders>
              <w:top w:val="single" w:color="000000" w:sz="4" w:space="0"/>
              <w:left w:val="single" w:color="000000" w:sz="4" w:space="0"/>
              <w:bottom w:val="single" w:color="000000" w:sz="4" w:space="0"/>
              <w:right w:val="single" w:color="000000" w:sz="4" w:space="0"/>
            </w:tcBorders>
            <w:vAlign w:val="center"/>
          </w:tcPr>
          <w:p>
            <w:pPr>
              <w:tabs>
                <w:tab w:val="right" w:pos="2625"/>
              </w:tabs>
              <w:snapToGrid w:val="0"/>
              <w:spacing w:line="440" w:lineRule="exact"/>
              <w:jc w:val="left"/>
              <w:rPr>
                <w:rStyle w:val="32"/>
                <w:rFonts w:cs="Times New Roman"/>
                <w:color w:val="auto"/>
                <w:kern w:val="0"/>
                <w:highlight w:val="none"/>
              </w:rPr>
            </w:pPr>
            <w:r>
              <w:rPr>
                <w:rStyle w:val="32"/>
                <w:rFonts w:cs="Times New Roman"/>
                <w:color w:val="auto"/>
                <w:kern w:val="0"/>
                <w:highlight w:val="none"/>
              </w:rPr>
              <w:t>本工程管理过程中的关键点、难点的分析和对策。根据投标人对本项目关键点、难点的认识及对策的全面、科学、合理性，由评委横向比较酌情打分（优：10-7分；良： 7-3分；差：3-0分）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32"/>
                <w:rFonts w:cs="Times New Roman"/>
                <w:b/>
                <w:bCs/>
                <w:color w:val="auto"/>
                <w:highlight w:val="none"/>
              </w:rPr>
            </w:pPr>
          </w:p>
        </w:tc>
        <w:tc>
          <w:tcPr>
            <w:tcW w:w="65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Style w:val="32"/>
                <w:rFonts w:cs="Times New Roman"/>
                <w:b/>
                <w:bCs/>
                <w:color w:val="auto"/>
                <w:highlight w:val="none"/>
              </w:rPr>
            </w:pPr>
            <w:r>
              <w:rPr>
                <w:rStyle w:val="32"/>
                <w:rFonts w:cs="Times New Roman"/>
                <w:b/>
                <w:bCs/>
                <w:color w:val="auto"/>
                <w:highlight w:val="none"/>
              </w:rPr>
              <w:t>10分</w:t>
            </w:r>
          </w:p>
        </w:tc>
        <w:tc>
          <w:tcPr>
            <w:tcW w:w="8073" w:type="dxa"/>
            <w:tcBorders>
              <w:top w:val="single" w:color="000000" w:sz="4" w:space="0"/>
              <w:left w:val="single" w:color="000000" w:sz="4" w:space="0"/>
              <w:bottom w:val="single" w:color="000000" w:sz="4" w:space="0"/>
              <w:right w:val="single" w:color="000000" w:sz="4" w:space="0"/>
            </w:tcBorders>
            <w:vAlign w:val="center"/>
          </w:tcPr>
          <w:p>
            <w:pPr>
              <w:tabs>
                <w:tab w:val="right" w:pos="2625"/>
              </w:tabs>
              <w:snapToGrid w:val="0"/>
              <w:spacing w:line="440" w:lineRule="exact"/>
              <w:jc w:val="left"/>
              <w:rPr>
                <w:rStyle w:val="32"/>
                <w:rFonts w:cs="Times New Roman"/>
                <w:color w:val="auto"/>
                <w:kern w:val="0"/>
                <w:highlight w:val="none"/>
              </w:rPr>
            </w:pPr>
            <w:r>
              <w:rPr>
                <w:rStyle w:val="32"/>
                <w:rFonts w:cs="Times New Roman"/>
                <w:color w:val="auto"/>
                <w:kern w:val="0"/>
                <w:highlight w:val="none"/>
              </w:rPr>
              <w:t>本工程质量管理、成本控制方案。根据入库招标项目的特点，投标人对施工质量管理、成本控制措施的全面、科学、合理性，由评委横向比较酌情打分（优：10-7分；良： 7-3分；差：3-0分）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32"/>
                <w:rFonts w:cs="Times New Roman"/>
                <w:b/>
                <w:bCs/>
                <w:color w:val="auto"/>
                <w:highlight w:val="none"/>
              </w:rPr>
            </w:pPr>
          </w:p>
        </w:tc>
        <w:tc>
          <w:tcPr>
            <w:tcW w:w="65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Style w:val="32"/>
                <w:rFonts w:cs="Times New Roman"/>
                <w:b/>
                <w:bCs/>
                <w:color w:val="auto"/>
                <w:highlight w:val="none"/>
              </w:rPr>
            </w:pPr>
            <w:r>
              <w:rPr>
                <w:rStyle w:val="32"/>
                <w:rFonts w:cs="Times New Roman"/>
                <w:b/>
                <w:bCs/>
                <w:color w:val="auto"/>
                <w:highlight w:val="none"/>
              </w:rPr>
              <w:t>10分</w:t>
            </w:r>
          </w:p>
        </w:tc>
        <w:tc>
          <w:tcPr>
            <w:tcW w:w="8073" w:type="dxa"/>
            <w:tcBorders>
              <w:top w:val="single" w:color="000000" w:sz="4" w:space="0"/>
              <w:left w:val="single" w:color="000000" w:sz="4" w:space="0"/>
              <w:bottom w:val="single" w:color="000000" w:sz="4" w:space="0"/>
              <w:right w:val="single" w:color="000000" w:sz="4" w:space="0"/>
            </w:tcBorders>
            <w:vAlign w:val="center"/>
          </w:tcPr>
          <w:p>
            <w:pPr>
              <w:tabs>
                <w:tab w:val="right" w:pos="2625"/>
              </w:tabs>
              <w:snapToGrid w:val="0"/>
              <w:spacing w:line="440" w:lineRule="exact"/>
              <w:jc w:val="left"/>
              <w:rPr>
                <w:rStyle w:val="32"/>
                <w:rFonts w:cs="Times New Roman"/>
                <w:color w:val="auto"/>
                <w:kern w:val="0"/>
                <w:highlight w:val="none"/>
              </w:rPr>
            </w:pPr>
            <w:r>
              <w:rPr>
                <w:rStyle w:val="32"/>
                <w:rFonts w:cs="Times New Roman"/>
                <w:color w:val="auto"/>
                <w:kern w:val="0"/>
                <w:highlight w:val="none"/>
              </w:rPr>
              <w:t>工程施工的安全、文明作业方案。根据投标人对工程施工的安全、文明施工作业方案、保障措施的全面、科学、合理性，由评委横向比较酌情打分（优：10-7分；良： 7-3分；差：3-0分）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2" w:hRule="atLeast"/>
        </w:trPr>
        <w:tc>
          <w:tcPr>
            <w:tcW w:w="1168" w:type="dxa"/>
            <w:tcBorders>
              <w:top w:val="single" w:color="000000" w:sz="4" w:space="0"/>
              <w:left w:val="single" w:color="000000" w:sz="4" w:space="0"/>
              <w:bottom w:val="single" w:color="auto" w:sz="4" w:space="0"/>
              <w:right w:val="single" w:color="000000" w:sz="4" w:space="0"/>
            </w:tcBorders>
            <w:vAlign w:val="center"/>
          </w:tcPr>
          <w:p>
            <w:pPr>
              <w:snapToGrid w:val="0"/>
              <w:spacing w:line="440" w:lineRule="exact"/>
              <w:rPr>
                <w:rStyle w:val="32"/>
                <w:rFonts w:cs="Times New Roman"/>
                <w:b/>
                <w:bCs/>
                <w:color w:val="auto"/>
                <w:highlight w:val="none"/>
              </w:rPr>
            </w:pPr>
            <w:r>
              <w:rPr>
                <w:rStyle w:val="32"/>
                <w:rFonts w:cs="Times New Roman"/>
                <w:b/>
                <w:bCs/>
                <w:color w:val="auto"/>
                <w:highlight w:val="none"/>
              </w:rPr>
              <w:t>本地化服务</w:t>
            </w:r>
          </w:p>
        </w:tc>
        <w:tc>
          <w:tcPr>
            <w:tcW w:w="658" w:type="dxa"/>
            <w:tcBorders>
              <w:top w:val="single" w:color="000000" w:sz="4" w:space="0"/>
              <w:left w:val="single" w:color="000000" w:sz="4" w:space="0"/>
              <w:bottom w:val="single" w:color="auto" w:sz="4" w:space="0"/>
              <w:right w:val="single" w:color="000000" w:sz="4" w:space="0"/>
            </w:tcBorders>
            <w:vAlign w:val="center"/>
          </w:tcPr>
          <w:p>
            <w:pPr>
              <w:snapToGrid w:val="0"/>
              <w:spacing w:line="440" w:lineRule="exact"/>
              <w:jc w:val="left"/>
              <w:rPr>
                <w:rStyle w:val="32"/>
                <w:rFonts w:cs="Times New Roman"/>
                <w:b/>
                <w:bCs/>
                <w:color w:val="auto"/>
                <w:kern w:val="0"/>
                <w:highlight w:val="none"/>
              </w:rPr>
            </w:pPr>
            <w:r>
              <w:rPr>
                <w:rStyle w:val="32"/>
                <w:rFonts w:cs="Times New Roman"/>
                <w:b/>
                <w:bCs/>
                <w:color w:val="auto"/>
                <w:kern w:val="0"/>
                <w:highlight w:val="none"/>
              </w:rPr>
              <w:t>10分</w:t>
            </w:r>
          </w:p>
        </w:tc>
        <w:tc>
          <w:tcPr>
            <w:tcW w:w="8073" w:type="dxa"/>
            <w:tcBorders>
              <w:top w:val="single" w:color="000000" w:sz="4" w:space="0"/>
              <w:left w:val="single" w:color="000000" w:sz="4" w:space="0"/>
              <w:bottom w:val="single" w:color="auto" w:sz="4" w:space="0"/>
              <w:right w:val="single" w:color="000000" w:sz="4" w:space="0"/>
            </w:tcBorders>
            <w:vAlign w:val="center"/>
          </w:tcPr>
          <w:p>
            <w:pPr>
              <w:tabs>
                <w:tab w:val="right" w:pos="2625"/>
              </w:tabs>
              <w:snapToGrid w:val="0"/>
              <w:spacing w:line="440" w:lineRule="exact"/>
              <w:jc w:val="left"/>
              <w:rPr>
                <w:rStyle w:val="32"/>
                <w:rFonts w:cs="Times New Roman"/>
                <w:color w:val="auto"/>
                <w:kern w:val="0"/>
                <w:highlight w:val="none"/>
              </w:rPr>
            </w:pPr>
            <w:r>
              <w:rPr>
                <w:rStyle w:val="32"/>
                <w:rFonts w:cs="Times New Roman"/>
                <w:color w:val="auto"/>
                <w:kern w:val="0"/>
                <w:highlight w:val="none"/>
              </w:rPr>
              <w:t>根据本此入库招标的特点，投标人须有能力在项目所在地提供服务，为此供应商应提供详细的本地化服务方案。评委根据供应商提供的本地化服务方案优劣，酌情打分，（优：10-7分；良： 7-3分；差：3-0分）</w:t>
            </w:r>
          </w:p>
        </w:tc>
      </w:tr>
    </w:tbl>
    <w:p>
      <w:pPr>
        <w:snapToGrid w:val="0"/>
        <w:spacing w:line="360" w:lineRule="auto"/>
        <w:ind w:firstLine="487" w:firstLineChars="202"/>
        <w:rPr>
          <w:rStyle w:val="32"/>
          <w:rFonts w:cs="Times New Roman"/>
          <w:b/>
          <w:bCs/>
          <w:color w:val="auto"/>
          <w:sz w:val="24"/>
          <w:szCs w:val="20"/>
          <w:highlight w:val="none"/>
        </w:rPr>
      </w:pPr>
    </w:p>
    <w:p>
      <w:pPr>
        <w:snapToGrid w:val="0"/>
        <w:spacing w:line="360" w:lineRule="auto"/>
        <w:ind w:firstLine="487" w:firstLineChars="202"/>
        <w:rPr>
          <w:rStyle w:val="32"/>
          <w:rFonts w:cs="Times New Roman"/>
          <w:b/>
          <w:color w:val="auto"/>
          <w:sz w:val="24"/>
          <w:highlight w:val="none"/>
        </w:rPr>
      </w:pPr>
      <w:r>
        <w:rPr>
          <w:rStyle w:val="32"/>
          <w:rFonts w:cs="Times New Roman"/>
          <w:b/>
          <w:bCs/>
          <w:color w:val="auto"/>
          <w:sz w:val="24"/>
          <w:szCs w:val="20"/>
          <w:highlight w:val="none"/>
        </w:rPr>
        <w:t>注：以上设得分上限，评委依据招标文件载明的方法评分，评分四舍五入精确到小数点后两位。</w:t>
      </w:r>
    </w:p>
    <w:p>
      <w:pPr>
        <w:pStyle w:val="88"/>
        <w:snapToGrid w:val="0"/>
        <w:ind w:firstLine="480"/>
        <w:rPr>
          <w:rStyle w:val="32"/>
          <w:rFonts w:ascii="Times New Roman" w:eastAsia="宋体" w:cs="Times New Roman"/>
          <w:bCs/>
          <w:color w:val="auto"/>
          <w:sz w:val="24"/>
          <w:szCs w:val="21"/>
          <w:highlight w:val="none"/>
        </w:rPr>
      </w:pPr>
      <w:r>
        <w:rPr>
          <w:rStyle w:val="32"/>
          <w:rFonts w:ascii="Times New Roman" w:cs="Times New Roman"/>
          <w:b/>
          <w:bCs/>
          <w:color w:val="auto"/>
          <w:sz w:val="24"/>
          <w:highlight w:val="none"/>
          <w:u w:val="thick" w:color="000000"/>
        </w:rPr>
        <w:t>特别提醒：技术标评分中所涉及相关资料等证明材料均须提供原件复印件并将原件带至开标现场备查，未携带原件或因携带原件不全所引起的后果由投标人自行承担</w:t>
      </w:r>
      <w:r>
        <w:rPr>
          <w:rStyle w:val="32"/>
          <w:rFonts w:ascii="Times New Roman" w:cs="Times New Roman"/>
          <w:b/>
          <w:bCs/>
          <w:color w:val="auto"/>
          <w:sz w:val="24"/>
          <w:highlight w:val="none"/>
        </w:rPr>
        <w:t>。</w:t>
      </w:r>
    </w:p>
    <w:p>
      <w:pPr>
        <w:snapToGrid w:val="0"/>
        <w:spacing w:line="360" w:lineRule="auto"/>
        <w:ind w:firstLine="482" w:firstLineChars="200"/>
        <w:rPr>
          <w:rStyle w:val="32"/>
          <w:rFonts w:cs="Times New Roman"/>
          <w:b/>
          <w:color w:val="auto"/>
          <w:sz w:val="24"/>
          <w:highlight w:val="none"/>
        </w:rPr>
      </w:pPr>
      <w:r>
        <w:rPr>
          <w:rStyle w:val="32"/>
          <w:rFonts w:cs="Times New Roman"/>
          <w:b/>
          <w:color w:val="auto"/>
          <w:sz w:val="24"/>
          <w:highlight w:val="none"/>
        </w:rPr>
        <w:t>九、其他注意事项</w:t>
      </w:r>
    </w:p>
    <w:p>
      <w:pPr>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1、在投标、开标时间，投标人不得向评委询问情况，不得进行旨在影响评标结果的活动。</w:t>
      </w:r>
    </w:p>
    <w:p>
      <w:pPr>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2、评委会不得向投标人解释落标原因。</w:t>
      </w:r>
    </w:p>
    <w:p>
      <w:pPr>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3、在投标、评标过程中，如果投标人联合故意抬高报价或出现其他不正当行为，招标人有权中止投标或评标。</w:t>
      </w:r>
    </w:p>
    <w:p>
      <w:pPr>
        <w:snapToGrid w:val="0"/>
        <w:spacing w:line="360" w:lineRule="auto"/>
        <w:ind w:firstLine="480" w:firstLineChars="200"/>
        <w:rPr>
          <w:rStyle w:val="32"/>
          <w:rFonts w:cs="Times New Roman"/>
          <w:color w:val="auto"/>
          <w:sz w:val="24"/>
          <w:highlight w:val="none"/>
        </w:rPr>
      </w:pPr>
      <w:r>
        <w:rPr>
          <w:rStyle w:val="32"/>
          <w:rFonts w:cs="Times New Roman"/>
          <w:color w:val="auto"/>
          <w:sz w:val="24"/>
          <w:highlight w:val="none"/>
        </w:rPr>
        <w:t>4、凡在投标、开标过程中，招标人已提示是否异议的事项，投标人当时没有提出异议的，事后投标人不得针对上述事项提出质疑。比如：招标人在开标中提示评委是否回避，投标人现场未提出异议的，事后不得针对评委回避事项提出质疑。</w:t>
      </w:r>
    </w:p>
    <w:p>
      <w:pPr>
        <w:snapToGrid w:val="0"/>
        <w:spacing w:line="360" w:lineRule="auto"/>
        <w:ind w:firstLine="482" w:firstLineChars="200"/>
        <w:rPr>
          <w:rStyle w:val="32"/>
          <w:rFonts w:cs="Times New Roman"/>
          <w:b/>
          <w:color w:val="auto"/>
          <w:sz w:val="24"/>
          <w:highlight w:val="none"/>
        </w:rPr>
      </w:pPr>
      <w:r>
        <w:rPr>
          <w:rStyle w:val="32"/>
          <w:rFonts w:cs="Times New Roman"/>
          <w:b/>
          <w:color w:val="auto"/>
          <w:sz w:val="24"/>
          <w:highlight w:val="none"/>
        </w:rPr>
        <w:t>十一、中标通知</w:t>
      </w:r>
    </w:p>
    <w:p>
      <w:pPr>
        <w:snapToGrid w:val="0"/>
        <w:spacing w:line="360" w:lineRule="auto"/>
        <w:ind w:firstLine="480" w:firstLineChars="200"/>
        <w:jc w:val="left"/>
        <w:rPr>
          <w:rStyle w:val="32"/>
          <w:rFonts w:cs="Times New Roman"/>
          <w:color w:val="auto"/>
          <w:sz w:val="24"/>
          <w:highlight w:val="none"/>
        </w:rPr>
      </w:pPr>
      <w:r>
        <w:rPr>
          <w:rStyle w:val="32"/>
          <w:rFonts w:cs="Times New Roman"/>
          <w:color w:val="auto"/>
          <w:sz w:val="24"/>
          <w:highlight w:val="none"/>
        </w:rPr>
        <w:t>中标结果公告期限为1个工作日。《中标通知书》一经发出，如采购单位改变中标结果，或者中标供应商放弃中标的，各自承担相应的法律责任。《中标通知书》是采购合同的组成部分。</w:t>
      </w:r>
    </w:p>
    <w:p>
      <w:pPr>
        <w:snapToGrid w:val="0"/>
        <w:spacing w:line="360" w:lineRule="auto"/>
        <w:ind w:left="2812"/>
        <w:rPr>
          <w:rStyle w:val="32"/>
          <w:rFonts w:eastAsia="黑体" w:cs="Times New Roman"/>
          <w:b/>
          <w:bCs/>
          <w:color w:val="auto"/>
          <w:sz w:val="44"/>
          <w:szCs w:val="28"/>
          <w:highlight w:val="none"/>
        </w:rPr>
      </w:pPr>
    </w:p>
    <w:p>
      <w:pPr>
        <w:snapToGrid w:val="0"/>
        <w:spacing w:line="360" w:lineRule="auto"/>
        <w:ind w:left="2812"/>
        <w:rPr>
          <w:rStyle w:val="32"/>
          <w:rFonts w:eastAsia="黑体" w:cs="Times New Roman"/>
          <w:b/>
          <w:bCs/>
          <w:color w:val="auto"/>
          <w:sz w:val="44"/>
          <w:szCs w:val="28"/>
          <w:highlight w:val="none"/>
        </w:rPr>
      </w:pPr>
    </w:p>
    <w:p>
      <w:pPr>
        <w:snapToGrid w:val="0"/>
        <w:spacing w:line="360" w:lineRule="auto"/>
        <w:jc w:val="center"/>
        <w:rPr>
          <w:rStyle w:val="32"/>
          <w:rFonts w:eastAsia="黑体" w:cs="Times New Roman"/>
          <w:b/>
          <w:bCs/>
          <w:color w:val="auto"/>
          <w:sz w:val="44"/>
          <w:szCs w:val="28"/>
          <w:highlight w:val="none"/>
        </w:rPr>
      </w:pPr>
      <w:r>
        <w:rPr>
          <w:rStyle w:val="32"/>
          <w:rFonts w:eastAsia="黑体" w:cs="Times New Roman"/>
          <w:b/>
          <w:bCs/>
          <w:color w:val="auto"/>
          <w:sz w:val="44"/>
          <w:szCs w:val="28"/>
          <w:highlight w:val="none"/>
        </w:rPr>
        <w:br w:type="page"/>
      </w:r>
      <w:r>
        <w:rPr>
          <w:rStyle w:val="32"/>
          <w:rFonts w:eastAsia="黑体" w:cs="Times New Roman"/>
          <w:bCs/>
          <w:color w:val="auto"/>
          <w:sz w:val="44"/>
          <w:highlight w:val="none"/>
        </w:rPr>
        <w:t>第五章 合同签订与验收付款</w:t>
      </w:r>
    </w:p>
    <w:p>
      <w:pPr>
        <w:adjustRightInd w:val="0"/>
        <w:snapToGrid w:val="0"/>
        <w:spacing w:line="360" w:lineRule="auto"/>
        <w:ind w:firstLine="480" w:firstLineChars="200"/>
        <w:rPr>
          <w:rStyle w:val="32"/>
          <w:rFonts w:cs="Times New Roman"/>
          <w:color w:val="auto"/>
          <w:sz w:val="24"/>
          <w:szCs w:val="24"/>
          <w:highlight w:val="none"/>
          <w:u w:val="single" w:color="000000"/>
        </w:rPr>
      </w:pPr>
      <w:r>
        <w:rPr>
          <w:rStyle w:val="32"/>
          <w:rFonts w:cs="Times New Roman"/>
          <w:color w:val="auto"/>
          <w:sz w:val="24"/>
          <w:szCs w:val="24"/>
          <w:highlight w:val="none"/>
        </w:rPr>
        <w:t>甲方:</w:t>
      </w:r>
      <w:r>
        <w:rPr>
          <w:rStyle w:val="32"/>
          <w:rFonts w:cs="Times New Roman"/>
          <w:color w:val="auto"/>
          <w:sz w:val="24"/>
          <w:szCs w:val="24"/>
          <w:highlight w:val="none"/>
          <w:u w:val="single" w:color="000000"/>
        </w:rPr>
        <w:t xml:space="preserve">                         </w:t>
      </w:r>
    </w:p>
    <w:p>
      <w:pPr>
        <w:adjustRightInd w:val="0"/>
        <w:snapToGrid w:val="0"/>
        <w:spacing w:line="360" w:lineRule="auto"/>
        <w:ind w:firstLine="480" w:firstLineChars="200"/>
        <w:rPr>
          <w:rStyle w:val="32"/>
          <w:rFonts w:cs="Times New Roman"/>
          <w:color w:val="auto"/>
          <w:sz w:val="24"/>
          <w:szCs w:val="24"/>
          <w:highlight w:val="none"/>
          <w:u w:val="single" w:color="000000"/>
        </w:rPr>
      </w:pPr>
      <w:r>
        <w:rPr>
          <w:rStyle w:val="32"/>
          <w:rFonts w:cs="Times New Roman"/>
          <w:color w:val="auto"/>
          <w:sz w:val="24"/>
          <w:szCs w:val="24"/>
          <w:highlight w:val="none"/>
        </w:rPr>
        <w:t>乙方:</w:t>
      </w:r>
      <w:r>
        <w:rPr>
          <w:rStyle w:val="32"/>
          <w:rFonts w:cs="Times New Roman"/>
          <w:color w:val="auto"/>
          <w:sz w:val="24"/>
          <w:szCs w:val="24"/>
          <w:highlight w:val="none"/>
          <w:u w:val="single" w:color="000000"/>
        </w:rPr>
        <w:t xml:space="preserve">                         </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甲乙双方根据</w:t>
      </w:r>
      <w:r>
        <w:rPr>
          <w:rStyle w:val="32"/>
          <w:rFonts w:hint="eastAsia" w:cs="Times New Roman"/>
          <w:color w:val="auto"/>
          <w:sz w:val="24"/>
          <w:szCs w:val="24"/>
          <w:highlight w:val="none"/>
          <w:lang w:eastAsia="zh-CN"/>
        </w:rPr>
        <w:t>如皋市交通产业集团有限公司</w:t>
      </w:r>
      <w:r>
        <w:rPr>
          <w:rStyle w:val="32"/>
          <w:rFonts w:cs="Times New Roman"/>
          <w:color w:val="auto"/>
          <w:sz w:val="24"/>
          <w:szCs w:val="24"/>
          <w:highlight w:val="none"/>
        </w:rPr>
        <w:t>施工类预选入库项目公开招标采购结果及采购文件的要求,经协商一致,达成如下采购服务合同:</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一、采购标的</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 xml:space="preserve">1．服务名称： </w:t>
      </w:r>
    </w:p>
    <w:p>
      <w:pPr>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sz w:val="24"/>
          <w:szCs w:val="24"/>
          <w:highlight w:val="none"/>
        </w:rPr>
        <w:t>2．服务内容：</w:t>
      </w:r>
      <w:r>
        <w:rPr>
          <w:rStyle w:val="32"/>
          <w:rFonts w:cs="Times New Roman"/>
          <w:color w:val="auto"/>
          <w:kern w:val="0"/>
          <w:sz w:val="24"/>
          <w:szCs w:val="24"/>
          <w:highlight w:val="none"/>
        </w:rPr>
        <w:t>2021-2022年度</w:t>
      </w:r>
      <w:r>
        <w:rPr>
          <w:rStyle w:val="32"/>
          <w:rFonts w:hint="eastAsia" w:cs="Times New Roman"/>
          <w:color w:val="auto"/>
          <w:kern w:val="0"/>
          <w:sz w:val="24"/>
          <w:szCs w:val="24"/>
          <w:highlight w:val="none"/>
          <w:lang w:eastAsia="zh-CN"/>
        </w:rPr>
        <w:t>如皋市交通产业集团有限公司</w:t>
      </w:r>
      <w:r>
        <w:rPr>
          <w:rStyle w:val="32"/>
          <w:rFonts w:cs="Times New Roman"/>
          <w:color w:val="auto"/>
          <w:kern w:val="0"/>
          <w:sz w:val="24"/>
          <w:szCs w:val="24"/>
          <w:highlight w:val="none"/>
        </w:rPr>
        <w:t>以及集团下属工程承包企业所承包项目的施工、材料设备供应（不含甲供材）、施工质保期间的质保。具体以最终签订的施工合同为准。</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3．服务期限：</w:t>
      </w:r>
      <w:r>
        <w:rPr>
          <w:rStyle w:val="32"/>
          <w:rFonts w:hint="eastAsia" w:cs="Times New Roman"/>
          <w:color w:val="auto"/>
          <w:sz w:val="24"/>
          <w:szCs w:val="24"/>
          <w:highlight w:val="none"/>
          <w:lang w:val="en-US" w:eastAsia="zh-CN"/>
        </w:rPr>
        <w:t>中标后-2022年12月31日</w:t>
      </w:r>
      <w:r>
        <w:rPr>
          <w:rStyle w:val="32"/>
          <w:rFonts w:cs="Times New Roman"/>
          <w:color w:val="auto"/>
          <w:sz w:val="24"/>
          <w:szCs w:val="24"/>
          <w:highlight w:val="none"/>
        </w:rPr>
        <w:t>。</w:t>
      </w:r>
      <w:r>
        <w:rPr>
          <w:rStyle w:val="32"/>
          <w:rFonts w:cs="Times New Roman"/>
          <w:color w:val="auto"/>
          <w:kern w:val="0"/>
          <w:sz w:val="24"/>
          <w:szCs w:val="24"/>
          <w:highlight w:val="none"/>
        </w:rPr>
        <w:t>自合同签订之日起计算。</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4．补充条款：</w:t>
      </w:r>
      <w:r>
        <w:rPr>
          <w:rStyle w:val="32"/>
          <w:rFonts w:cs="Times New Roman"/>
          <w:color w:val="auto"/>
          <w:sz w:val="24"/>
          <w:szCs w:val="24"/>
          <w:highlight w:val="none"/>
          <w:u w:val="single" w:color="000000"/>
        </w:rPr>
        <w:t xml:space="preserve">                                    </w:t>
      </w:r>
      <w:r>
        <w:rPr>
          <w:rStyle w:val="32"/>
          <w:rFonts w:cs="Times New Roman"/>
          <w:color w:val="auto"/>
          <w:sz w:val="24"/>
          <w:szCs w:val="24"/>
          <w:highlight w:val="none"/>
        </w:rPr>
        <w:t>。</w:t>
      </w:r>
    </w:p>
    <w:p>
      <w:pPr>
        <w:pStyle w:val="21"/>
        <w:adjustRightInd w:val="0"/>
        <w:snapToGrid w:val="0"/>
        <w:spacing w:line="360" w:lineRule="auto"/>
        <w:ind w:firstLine="480" w:firstLineChars="200"/>
        <w:rPr>
          <w:rStyle w:val="32"/>
          <w:rFonts w:ascii="Times New Roman" w:hAnsi="Times New Roman" w:eastAsia="宋体" w:cs="Times New Roman"/>
          <w:color w:val="auto"/>
          <w:kern w:val="0"/>
          <w:sz w:val="24"/>
          <w:szCs w:val="24"/>
          <w:highlight w:val="none"/>
        </w:rPr>
      </w:pPr>
      <w:r>
        <w:rPr>
          <w:rStyle w:val="32"/>
          <w:rFonts w:ascii="Times New Roman" w:hAnsi="Times New Roman" w:eastAsia="宋体" w:cs="Times New Roman"/>
          <w:color w:val="auto"/>
          <w:kern w:val="0"/>
          <w:sz w:val="24"/>
          <w:szCs w:val="24"/>
          <w:highlight w:val="none"/>
        </w:rPr>
        <w:t>5.项目实施单位的确定：本次选聘</w:t>
      </w:r>
      <w:r>
        <w:rPr>
          <w:rStyle w:val="32"/>
          <w:rFonts w:ascii="Times New Roman" w:hAnsi="Times New Roman" w:eastAsia="宋体" w:cs="Times New Roman"/>
          <w:color w:val="auto"/>
          <w:kern w:val="0"/>
          <w:sz w:val="24"/>
          <w:szCs w:val="24"/>
          <w:highlight w:val="none"/>
          <w:u w:val="single"/>
        </w:rPr>
        <w:t xml:space="preserve">    </w:t>
      </w:r>
      <w:r>
        <w:rPr>
          <w:rStyle w:val="32"/>
          <w:rFonts w:ascii="Times New Roman" w:hAnsi="Times New Roman" w:eastAsia="宋体" w:cs="Times New Roman"/>
          <w:color w:val="auto"/>
          <w:kern w:val="0"/>
          <w:sz w:val="24"/>
          <w:szCs w:val="24"/>
          <w:highlight w:val="none"/>
        </w:rPr>
        <w:t>家单位。单个项目的发包，招标人及其下属子公司作为施工项目的发包人，从各对应专业的入库单位中邀请不少于3家单位通过邀请招标、竞争性磋商、竞争性谈判、询价等方式确定拟发包施工项目的施工单位。</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二、施工图预算下浮率：</w:t>
      </w:r>
      <w:r>
        <w:rPr>
          <w:rStyle w:val="32"/>
          <w:rFonts w:cs="Times New Roman"/>
          <w:color w:val="auto"/>
          <w:sz w:val="24"/>
          <w:szCs w:val="24"/>
          <w:highlight w:val="none"/>
          <w:u w:val="single" w:color="000000"/>
        </w:rPr>
        <w:t xml:space="preserve">       % </w:t>
      </w:r>
      <w:r>
        <w:rPr>
          <w:rStyle w:val="32"/>
          <w:rFonts w:cs="Times New Roman"/>
          <w:color w:val="auto"/>
          <w:sz w:val="24"/>
          <w:szCs w:val="24"/>
          <w:highlight w:val="none"/>
        </w:rPr>
        <w:t xml:space="preserve"> 。</w:t>
      </w:r>
    </w:p>
    <w:p>
      <w:pPr>
        <w:adjustRightInd w:val="0"/>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招标人委托第三方咨询机构根据以下口径编制定额预算价。中标人的单个项目的合同价即为该定额预算价基础上乘以（1-下浮率）。</w:t>
      </w:r>
    </w:p>
    <w:p>
      <w:pPr>
        <w:adjustRightInd w:val="0"/>
        <w:snapToGrid w:val="0"/>
        <w:spacing w:line="360" w:lineRule="auto"/>
        <w:ind w:firstLine="480" w:firstLineChars="200"/>
        <w:rPr>
          <w:rStyle w:val="32"/>
          <w:rFonts w:cs="Times New Roman"/>
          <w:color w:val="auto"/>
          <w:kern w:val="0"/>
          <w:sz w:val="24"/>
          <w:szCs w:val="24"/>
          <w:highlight w:val="none"/>
        </w:rPr>
      </w:pPr>
      <w:r>
        <w:rPr>
          <w:rStyle w:val="32"/>
          <w:rFonts w:cs="Times New Roman"/>
          <w:color w:val="auto"/>
          <w:kern w:val="0"/>
          <w:sz w:val="24"/>
          <w:szCs w:val="24"/>
          <w:highlight w:val="none"/>
        </w:rPr>
        <w:t>施工图预算编制依据：</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1.计价依据（YXGC-1、2、4、5、6-市政领域）</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（1）招标人提供的工程施工图、工程量清单；</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 xml:space="preserve">（2）《建设工程工程量清单计价规范》（GB50500-2013）、《房屋建筑与装饰工程工程量计算规范》（GB50854-2013）、《通用安装工程工程量计算规范》（GB50856-2013）； </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（3）《江苏省建筑与装饰工程计价定额》2014年版；</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（4）《江苏省安装工程计价定额》2014年版；</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（5）《江苏省市政工程计价定额》2014年版；</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（6）《江苏省建设工程费用定额》2014年版、《省住房城乡建设厅关于建筑业实施营改增后江苏省建设工程计价依据调整的通知》（苏建价〔2016〕154号，采用一般计税法）；</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（7）</w:t>
      </w:r>
      <w:r>
        <w:rPr>
          <w:rStyle w:val="32"/>
          <w:rFonts w:cs="Times New Roman"/>
          <w:color w:val="auto"/>
          <w:sz w:val="24"/>
          <w:szCs w:val="24"/>
          <w:highlight w:val="none"/>
          <w:u w:val="single" w:color="000000"/>
        </w:rPr>
        <w:t>人工工资执行江苏省住房和城乡建设厅发布的施工同期（以开工报告时点为准）人工工资指导价（</w:t>
      </w:r>
      <w:r>
        <w:rPr>
          <w:rStyle w:val="32"/>
          <w:rFonts w:cs="Times New Roman"/>
          <w:color w:val="auto"/>
          <w:sz w:val="24"/>
          <w:szCs w:val="24"/>
          <w:highlight w:val="none"/>
          <w:u w:val="single"/>
        </w:rPr>
        <w:t>装饰工程人工按最低价）</w:t>
      </w:r>
      <w:r>
        <w:rPr>
          <w:rFonts w:cs="Times New Roman"/>
          <w:color w:val="auto"/>
          <w:highlight w:val="none"/>
        </w:rPr>
        <w:t>；</w:t>
      </w:r>
      <w:r>
        <w:rPr>
          <w:rStyle w:val="32"/>
          <w:rFonts w:cs="Times New Roman"/>
          <w:color w:val="auto"/>
          <w:sz w:val="24"/>
          <w:szCs w:val="24"/>
          <w:highlight w:val="none"/>
          <w:u w:val="single" w:color="000000"/>
        </w:rPr>
        <w:t>机械台班单价按省造价管理部门规定；材料按如皋市（以开工报告时点为基准期）造价管理部门发布的施工同期材料信息价取定，如皋市信息价没有的材料按南通市信息价计入。如皋市、南通市均无信息价的材料根据市场行情进行认质认价，或其他合法程序确定。</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（8）江苏省、南通市、如皋市现行的计价文件及补充计价定额规定。</w:t>
      </w:r>
    </w:p>
    <w:p>
      <w:pPr>
        <w:adjustRightInd w:val="0"/>
        <w:snapToGrid w:val="0"/>
        <w:spacing w:line="360" w:lineRule="auto"/>
        <w:ind w:firstLine="480" w:firstLineChars="200"/>
        <w:rPr>
          <w:rStyle w:val="32"/>
          <w:rFonts w:cs="Times New Roman"/>
          <w:bCs/>
          <w:color w:val="auto"/>
          <w:kern w:val="0"/>
          <w:sz w:val="24"/>
          <w:szCs w:val="24"/>
          <w:highlight w:val="none"/>
          <w:u w:val="single"/>
        </w:rPr>
      </w:pPr>
      <w:r>
        <w:rPr>
          <w:rStyle w:val="32"/>
          <w:rFonts w:cs="Times New Roman"/>
          <w:color w:val="auto"/>
          <w:sz w:val="24"/>
          <w:szCs w:val="24"/>
          <w:highlight w:val="none"/>
          <w:u w:val="single" w:color="000000"/>
        </w:rPr>
        <w:t xml:space="preserve">（9） </w:t>
      </w:r>
      <w:r>
        <w:rPr>
          <w:rStyle w:val="32"/>
          <w:rFonts w:cs="Times New Roman"/>
          <w:bCs/>
          <w:color w:val="auto"/>
          <w:kern w:val="0"/>
          <w:sz w:val="24"/>
          <w:szCs w:val="24"/>
          <w:highlight w:val="none"/>
          <w:u w:val="single" w:color="000000"/>
        </w:rPr>
        <w:t xml:space="preserve">不可竞争费用不得下浮，按以下费率计取： </w:t>
      </w:r>
    </w:p>
    <w:tbl>
      <w:tblPr>
        <w:tblStyle w:val="13"/>
        <w:tblW w:w="920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200"/>
        <w:gridCol w:w="1455"/>
        <w:gridCol w:w="930"/>
        <w:gridCol w:w="855"/>
        <w:gridCol w:w="885"/>
        <w:gridCol w:w="915"/>
        <w:gridCol w:w="1110"/>
        <w:gridCol w:w="1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4" w:hRule="exact"/>
          <w:tblHeader/>
        </w:trPr>
        <w:tc>
          <w:tcPr>
            <w:tcW w:w="79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费用类别</w:t>
            </w:r>
          </w:p>
        </w:tc>
        <w:tc>
          <w:tcPr>
            <w:tcW w:w="12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费用名称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计费基数</w:t>
            </w:r>
          </w:p>
        </w:tc>
        <w:tc>
          <w:tcPr>
            <w:tcW w:w="93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土建（%）</w:t>
            </w: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修缮（%）</w:t>
            </w:r>
          </w:p>
        </w:tc>
        <w:tc>
          <w:tcPr>
            <w:tcW w:w="8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装饰（%）</w:t>
            </w:r>
          </w:p>
        </w:tc>
        <w:tc>
          <w:tcPr>
            <w:tcW w:w="91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大型土石方工程（%）</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市政通用（%）</w:t>
            </w:r>
          </w:p>
        </w:tc>
        <w:tc>
          <w:tcPr>
            <w:tcW w:w="1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安装</w:t>
            </w:r>
          </w:p>
          <w:p>
            <w:pPr>
              <w:snapToGrid w:val="0"/>
              <w:jc w:val="center"/>
              <w:rPr>
                <w:rStyle w:val="32"/>
                <w:rFonts w:cs="Times New Roman"/>
                <w:b/>
                <w:color w:val="auto"/>
                <w:sz w:val="24"/>
                <w:szCs w:val="24"/>
                <w:highlight w:val="none"/>
              </w:rPr>
            </w:pPr>
            <w:r>
              <w:rPr>
                <w:rStyle w:val="32"/>
                <w:rFonts w:cs="Times New Roman"/>
                <w:b/>
                <w:color w:val="auto"/>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94"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规  费</w:t>
            </w:r>
          </w:p>
        </w:tc>
        <w:tc>
          <w:tcPr>
            <w:tcW w:w="12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社会保险费</w:t>
            </w:r>
          </w:p>
        </w:tc>
        <w:tc>
          <w:tcPr>
            <w:tcW w:w="1455"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分部分项工程费+措施项目费+其他项目费-工程设备费</w:t>
            </w:r>
          </w:p>
        </w:tc>
        <w:tc>
          <w:tcPr>
            <w:tcW w:w="93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3.2</w:t>
            </w: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3.8</w:t>
            </w:r>
          </w:p>
        </w:tc>
        <w:tc>
          <w:tcPr>
            <w:tcW w:w="8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2.4</w:t>
            </w:r>
          </w:p>
        </w:tc>
        <w:tc>
          <w:tcPr>
            <w:tcW w:w="91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1.3</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2</w:t>
            </w:r>
          </w:p>
        </w:tc>
        <w:tc>
          <w:tcPr>
            <w:tcW w:w="1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color w:val="auto"/>
                <w:sz w:val="24"/>
                <w:szCs w:val="24"/>
                <w:highlight w:val="none"/>
              </w:rPr>
              <w:t>住房公积金</w:t>
            </w: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p>
        </w:tc>
        <w:tc>
          <w:tcPr>
            <w:tcW w:w="93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0.53</w:t>
            </w: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0.67</w:t>
            </w:r>
          </w:p>
        </w:tc>
        <w:tc>
          <w:tcPr>
            <w:tcW w:w="8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0.42</w:t>
            </w:r>
          </w:p>
        </w:tc>
        <w:tc>
          <w:tcPr>
            <w:tcW w:w="91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0.24</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0.34</w:t>
            </w:r>
          </w:p>
        </w:tc>
        <w:tc>
          <w:tcPr>
            <w:tcW w:w="1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94"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现场安全文明施工措施费</w:t>
            </w:r>
          </w:p>
        </w:tc>
        <w:tc>
          <w:tcPr>
            <w:tcW w:w="12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基本费</w:t>
            </w:r>
          </w:p>
        </w:tc>
        <w:tc>
          <w:tcPr>
            <w:tcW w:w="1455"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分部分项工程费+单价措施项目费-工程设备费</w:t>
            </w:r>
          </w:p>
        </w:tc>
        <w:tc>
          <w:tcPr>
            <w:tcW w:w="93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3.1</w:t>
            </w: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1.5</w:t>
            </w:r>
          </w:p>
        </w:tc>
        <w:tc>
          <w:tcPr>
            <w:tcW w:w="8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1.7</w:t>
            </w:r>
          </w:p>
        </w:tc>
        <w:tc>
          <w:tcPr>
            <w:tcW w:w="91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1.5</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1.5</w:t>
            </w:r>
          </w:p>
        </w:tc>
        <w:tc>
          <w:tcPr>
            <w:tcW w:w="1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r>
              <w:rPr>
                <w:rStyle w:val="32"/>
                <w:rFonts w:cs="Times New Roman"/>
                <w:color w:val="auto"/>
                <w:sz w:val="24"/>
                <w:szCs w:val="24"/>
                <w:highlight w:val="none"/>
              </w:rPr>
              <w:t>标化增加费</w:t>
            </w: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p>
        </w:tc>
        <w:tc>
          <w:tcPr>
            <w:tcW w:w="93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w:t>
            </w: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w:t>
            </w:r>
          </w:p>
        </w:tc>
        <w:tc>
          <w:tcPr>
            <w:tcW w:w="91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扬尘污染防治增加费</w:t>
            </w: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
                <w:color w:val="auto"/>
                <w:sz w:val="24"/>
                <w:szCs w:val="24"/>
                <w:highlight w:val="none"/>
              </w:rPr>
            </w:pPr>
          </w:p>
        </w:tc>
        <w:tc>
          <w:tcPr>
            <w:tcW w:w="93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0.31</w:t>
            </w: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0.21</w:t>
            </w:r>
          </w:p>
        </w:tc>
        <w:tc>
          <w:tcPr>
            <w:tcW w:w="8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0.22</w:t>
            </w:r>
          </w:p>
        </w:tc>
        <w:tc>
          <w:tcPr>
            <w:tcW w:w="91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0.42</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0.31</w:t>
            </w:r>
          </w:p>
        </w:tc>
        <w:tc>
          <w:tcPr>
            <w:tcW w:w="1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99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税   金</w:t>
            </w:r>
          </w:p>
        </w:tc>
        <w:tc>
          <w:tcPr>
            <w:tcW w:w="145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税前造价</w:t>
            </w:r>
          </w:p>
        </w:tc>
        <w:tc>
          <w:tcPr>
            <w:tcW w:w="5760" w:type="dxa"/>
            <w:gridSpan w:val="6"/>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color w:val="auto"/>
                <w:sz w:val="24"/>
                <w:szCs w:val="24"/>
                <w:highlight w:val="none"/>
              </w:rPr>
            </w:pPr>
            <w:r>
              <w:rPr>
                <w:rStyle w:val="32"/>
                <w:rFonts w:cs="Times New Roman"/>
                <w:color w:val="auto"/>
                <w:sz w:val="24"/>
                <w:szCs w:val="24"/>
                <w:highlight w:val="none"/>
              </w:rPr>
              <w:t>9%（一般计税法）</w:t>
            </w:r>
          </w:p>
        </w:tc>
      </w:tr>
    </w:tbl>
    <w:p>
      <w:pPr>
        <w:snapToGrid w:val="0"/>
        <w:spacing w:line="360" w:lineRule="auto"/>
        <w:ind w:firstLine="240" w:firstLineChars="100"/>
        <w:jc w:val="left"/>
        <w:rPr>
          <w:rStyle w:val="32"/>
          <w:rFonts w:cs="Times New Roman"/>
          <w:color w:val="auto"/>
          <w:sz w:val="24"/>
          <w:szCs w:val="24"/>
          <w:highlight w:val="none"/>
        </w:rPr>
      </w:pPr>
      <w:r>
        <w:rPr>
          <w:rStyle w:val="32"/>
          <w:rFonts w:cs="Times New Roman"/>
          <w:color w:val="auto"/>
          <w:sz w:val="24"/>
          <w:szCs w:val="24"/>
          <w:highlight w:val="none"/>
        </w:rPr>
        <w:t>注：安全文明施工措施费率为暂定、最终以如皋市建设工程造价管理部门核定为准，否则不予结算。 </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2</w:t>
      </w:r>
      <w:r>
        <w:rPr>
          <w:rStyle w:val="32"/>
          <w:rFonts w:hint="eastAsia" w:cs="Times New Roman"/>
          <w:color w:val="auto"/>
          <w:sz w:val="24"/>
          <w:szCs w:val="24"/>
          <w:highlight w:val="none"/>
        </w:rPr>
        <w:t>．</w:t>
      </w:r>
      <w:r>
        <w:rPr>
          <w:rStyle w:val="32"/>
          <w:rFonts w:cs="Times New Roman"/>
          <w:color w:val="auto"/>
          <w:sz w:val="24"/>
          <w:szCs w:val="24"/>
          <w:highlight w:val="none"/>
        </w:rPr>
        <w:t>计价依据（YXGC-3、6-交通领域）</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（1）《公路工程标准施工招标文件》（2018版）</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（2）《公路工程预算定额》（JTG/T 3832-2018）；</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（3）《公路工程建设项目概算预算编制办法》（JTG3830-2018）</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（4）《公路工程机械台班费用定额》（JTG-T3833-2018 ）</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（5）交通运输部办公厅【2016】66 号“交通运输部办公厅关于印发《公路工程营业税改征增值税计价依据调整方案》的通知”</w:t>
      </w:r>
    </w:p>
    <w:p>
      <w:pPr>
        <w:adjustRightInd w:val="0"/>
        <w:snapToGrid w:val="0"/>
        <w:spacing w:line="360" w:lineRule="auto"/>
        <w:ind w:firstLine="480" w:firstLineChars="200"/>
        <w:rPr>
          <w:rStyle w:val="32"/>
          <w:rFonts w:cs="Times New Roman"/>
          <w:color w:val="auto"/>
          <w:sz w:val="24"/>
          <w:szCs w:val="24"/>
          <w:highlight w:val="none"/>
        </w:rPr>
      </w:pPr>
      <w:r>
        <w:rPr>
          <w:rStyle w:val="32"/>
          <w:rFonts w:hint="eastAsia" w:cs="Times New Roman"/>
          <w:color w:val="auto"/>
          <w:sz w:val="24"/>
          <w:szCs w:val="24"/>
          <w:highlight w:val="none"/>
        </w:rPr>
        <w:t>3.有关计量、计价的其他约定，详见本招标文件第三章“项目需求”的第二条“</w:t>
      </w:r>
      <w:r>
        <w:rPr>
          <w:rStyle w:val="32"/>
          <w:rFonts w:cs="Times New Roman"/>
          <w:color w:val="auto"/>
          <w:sz w:val="24"/>
          <w:szCs w:val="24"/>
          <w:highlight w:val="none"/>
        </w:rPr>
        <w:t>投标报价</w:t>
      </w:r>
      <w:r>
        <w:rPr>
          <w:rStyle w:val="32"/>
          <w:rFonts w:hint="eastAsia" w:cs="Times New Roman"/>
          <w:color w:val="auto"/>
          <w:sz w:val="24"/>
          <w:szCs w:val="24"/>
          <w:highlight w:val="none"/>
        </w:rPr>
        <w:t>”的规定执行。</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三、合同履行：本合同项下服务的提供参照招标文件的具体要求履行，甲乙双方通过补充条款进行特殊约定的从其约定。</w:t>
      </w:r>
    </w:p>
    <w:p>
      <w:pPr>
        <w:adjustRightInd w:val="0"/>
        <w:snapToGrid w:val="0"/>
        <w:spacing w:line="360" w:lineRule="auto"/>
        <w:ind w:firstLine="480" w:firstLineChars="200"/>
        <w:rPr>
          <w:rStyle w:val="32"/>
          <w:rFonts w:cs="Times New Roman"/>
          <w:color w:val="auto"/>
          <w:sz w:val="24"/>
          <w:szCs w:val="24"/>
          <w:highlight w:val="none"/>
          <w:u w:val="single" w:color="000000"/>
        </w:rPr>
      </w:pPr>
      <w:r>
        <w:rPr>
          <w:rStyle w:val="32"/>
          <w:rFonts w:cs="Times New Roman"/>
          <w:color w:val="auto"/>
          <w:sz w:val="24"/>
          <w:szCs w:val="24"/>
          <w:highlight w:val="none"/>
        </w:rPr>
        <w:t>补充条款：</w:t>
      </w:r>
      <w:r>
        <w:rPr>
          <w:rStyle w:val="32"/>
          <w:rFonts w:cs="Times New Roman"/>
          <w:color w:val="auto"/>
          <w:sz w:val="24"/>
          <w:szCs w:val="24"/>
          <w:highlight w:val="none"/>
          <w:u w:val="single" w:color="000000"/>
        </w:rPr>
        <w:t xml:space="preserve">                                        </w:t>
      </w:r>
      <w:r>
        <w:rPr>
          <w:rStyle w:val="32"/>
          <w:rFonts w:cs="Times New Roman"/>
          <w:color w:val="auto"/>
          <w:sz w:val="24"/>
          <w:szCs w:val="24"/>
          <w:highlight w:val="none"/>
        </w:rPr>
        <w:t>。</w:t>
      </w:r>
    </w:p>
    <w:p>
      <w:pPr>
        <w:tabs>
          <w:tab w:val="left" w:pos="1980"/>
        </w:tabs>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四、质量要求：工程质量符合</w:t>
      </w:r>
      <w:r>
        <w:rPr>
          <w:rStyle w:val="32"/>
          <w:rFonts w:cs="Times New Roman"/>
          <w:b/>
          <w:bCs/>
          <w:color w:val="auto"/>
          <w:sz w:val="24"/>
          <w:szCs w:val="24"/>
          <w:highlight w:val="none"/>
          <w:u w:val="single" w:color="000000"/>
        </w:rPr>
        <w:t>一次性验收合格</w:t>
      </w:r>
      <w:r>
        <w:rPr>
          <w:rStyle w:val="32"/>
          <w:rFonts w:cs="Times New Roman"/>
          <w:color w:val="auto"/>
          <w:sz w:val="24"/>
          <w:szCs w:val="24"/>
          <w:highlight w:val="none"/>
        </w:rPr>
        <w:t>标准。</w:t>
      </w:r>
    </w:p>
    <w:p>
      <w:pPr>
        <w:tabs>
          <w:tab w:val="left" w:pos="1980"/>
        </w:tabs>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五、合同责任</w:t>
      </w:r>
    </w:p>
    <w:p>
      <w:pPr>
        <w:tabs>
          <w:tab w:val="left" w:pos="1980"/>
        </w:tabs>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1．甲方应当根据预算编制口径编制定额预算价。</w:t>
      </w:r>
    </w:p>
    <w:p>
      <w:pPr>
        <w:tabs>
          <w:tab w:val="left" w:pos="1980"/>
        </w:tabs>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2. 甲方组织对乙方的质量、安全文明等进行考评。考评不满意的，有权暂停乙方参与下一轮项目的报价资格，乙方应采取整改措施，整改符合要求的方可恢复报价资格。在暂停工作期间造成的乙方损失，由乙方自行承担。</w:t>
      </w:r>
    </w:p>
    <w:p>
      <w:pPr>
        <w:tabs>
          <w:tab w:val="left" w:pos="1980"/>
        </w:tabs>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3. 在工程实施过程中，甲方对预选单位进行考核，如乙方的服务办公情况、设备、人员与投标文件不一致，且未向甲方递交任何变更申请并被批准，甲方有权取消中标人的入围资格，并没收中标人的履约保证金。</w:t>
      </w:r>
    </w:p>
    <w:p>
      <w:pPr>
        <w:tabs>
          <w:tab w:val="left" w:pos="1980"/>
        </w:tabs>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4．乙方在履行合同中产生的一切非因甲方过错导致的损失，均由乙方自行承担责任。</w:t>
      </w:r>
    </w:p>
    <w:p>
      <w:pPr>
        <w:tabs>
          <w:tab w:val="left" w:pos="1980"/>
        </w:tabs>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5.项目实施过程中甲方发现乙方转包、或项目完成质量差、工期严重延误的，甲方将有权取消合同，且履约保证金不予退还。</w:t>
      </w:r>
    </w:p>
    <w:p>
      <w:pPr>
        <w:pStyle w:val="21"/>
        <w:adjustRightInd w:val="0"/>
        <w:snapToGrid w:val="0"/>
        <w:spacing w:line="360" w:lineRule="auto"/>
        <w:ind w:firstLine="480" w:firstLineChars="200"/>
        <w:jc w:val="left"/>
        <w:rPr>
          <w:rStyle w:val="32"/>
          <w:rFonts w:ascii="Times New Roman" w:hAnsi="Times New Roman" w:eastAsia="宋体" w:cs="Times New Roman"/>
          <w:color w:val="auto"/>
          <w:sz w:val="24"/>
          <w:szCs w:val="24"/>
          <w:highlight w:val="none"/>
        </w:rPr>
      </w:pPr>
      <w:r>
        <w:rPr>
          <w:rStyle w:val="32"/>
          <w:rFonts w:ascii="Times New Roman" w:hAnsi="Times New Roman" w:eastAsia="宋体" w:cs="Times New Roman"/>
          <w:color w:val="auto"/>
          <w:sz w:val="24"/>
          <w:szCs w:val="24"/>
          <w:highlight w:val="none"/>
        </w:rPr>
        <w:t>6．乙方在项目实施过程中的安全均由乙方负责，给甲方带来损失的还需赔偿。</w:t>
      </w:r>
    </w:p>
    <w:p>
      <w:pPr>
        <w:tabs>
          <w:tab w:val="left" w:pos="1980"/>
        </w:tabs>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7．甲乙双方均应指定专人作为本合同履行期间双方之间的联络人，所有一方向相对方正式知会事项的通知到达相对方指定联络人即视为到达对方。</w:t>
      </w:r>
    </w:p>
    <w:p>
      <w:pPr>
        <w:tabs>
          <w:tab w:val="left" w:pos="1980"/>
        </w:tabs>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甲方指定联络人：</w:t>
      </w:r>
    </w:p>
    <w:p>
      <w:pPr>
        <w:tabs>
          <w:tab w:val="left" w:pos="1980"/>
        </w:tabs>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姓    名：</w:t>
      </w:r>
    </w:p>
    <w:p>
      <w:pPr>
        <w:tabs>
          <w:tab w:val="left" w:pos="1980"/>
        </w:tabs>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联系方式：</w:t>
      </w:r>
    </w:p>
    <w:p>
      <w:pPr>
        <w:tabs>
          <w:tab w:val="left" w:pos="1980"/>
        </w:tabs>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乙方指定联络人：</w:t>
      </w:r>
    </w:p>
    <w:p>
      <w:pPr>
        <w:tabs>
          <w:tab w:val="left" w:pos="1980"/>
        </w:tabs>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姓    名：</w:t>
      </w:r>
    </w:p>
    <w:p>
      <w:pPr>
        <w:tabs>
          <w:tab w:val="left" w:pos="1980"/>
        </w:tabs>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联系方式：</w:t>
      </w:r>
    </w:p>
    <w:p>
      <w:pPr>
        <w:tabs>
          <w:tab w:val="left" w:pos="1980"/>
        </w:tabs>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责任内容还包括招标文件各部分内容中载明的双方责任。</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六、履约保证金：本次采购项目乙方缴纳履约保证金伍万元，缴纳方式</w:t>
      </w:r>
      <w:r>
        <w:rPr>
          <w:rStyle w:val="32"/>
          <w:rFonts w:cs="Times New Roman"/>
          <w:color w:val="auto"/>
          <w:sz w:val="24"/>
          <w:szCs w:val="24"/>
          <w:highlight w:val="none"/>
          <w:u w:val="single" w:color="000000"/>
        </w:rPr>
        <w:t xml:space="preserve">       </w:t>
      </w:r>
      <w:r>
        <w:rPr>
          <w:rStyle w:val="32"/>
          <w:rFonts w:cs="Times New Roman"/>
          <w:color w:val="auto"/>
          <w:sz w:val="24"/>
          <w:szCs w:val="24"/>
          <w:highlight w:val="none"/>
        </w:rPr>
        <w:t xml:space="preserve"> ，待服务期满，无息退还。</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七、付款：每个项目的付款方式如下：</w:t>
      </w:r>
    </w:p>
    <w:p>
      <w:pPr>
        <w:tabs>
          <w:tab w:val="left" w:pos="1980"/>
        </w:tabs>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本项目付款根据项目具体情况，另行约定支付条款，每次支付前，承包人均应出具项目所在地税务部门开具的相应金额的增值税专用税务发票。</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八、保密条款：乙方不得将在履行本合同中知悉的甲方任何信息随意泄露、擅自使用。</w:t>
      </w:r>
    </w:p>
    <w:p>
      <w:pPr>
        <w:adjustRightInd w:val="0"/>
        <w:snapToGrid w:val="0"/>
        <w:spacing w:line="360" w:lineRule="auto"/>
        <w:ind w:firstLine="480" w:firstLineChars="200"/>
        <w:rPr>
          <w:rStyle w:val="32"/>
          <w:rFonts w:cs="Times New Roman"/>
          <w:color w:val="auto"/>
          <w:sz w:val="24"/>
          <w:szCs w:val="24"/>
          <w:highlight w:val="none"/>
          <w:u w:val="single" w:color="000000"/>
        </w:rPr>
      </w:pPr>
      <w:r>
        <w:rPr>
          <w:rStyle w:val="32"/>
          <w:rFonts w:cs="Times New Roman"/>
          <w:color w:val="auto"/>
          <w:sz w:val="24"/>
          <w:szCs w:val="24"/>
          <w:highlight w:val="none"/>
        </w:rPr>
        <w:t>如违反本条款规定，乙方应当承担如下责任：乙方向甲方支付合同价款2%的违约金。</w:t>
      </w:r>
    </w:p>
    <w:p>
      <w:pPr>
        <w:tabs>
          <w:tab w:val="left" w:pos="1980"/>
        </w:tabs>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九、合同纠纷处理：本合同执行过程中发生纠纷，由甲乙双方协商处理，若协商不成，双方一致同意通过诉讼途径解决，约定由甲方所在地人民法院管辖。</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十、合同生效：本合同由甲乙双方签字盖章后生效。</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十一、组成本合同的文件包括：</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（一）合同通用条款和专用条款；</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（二）采购文件和乙方的投标文件；</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（三）中标通知书；</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（四）甲乙双方商定的其他必要文件。</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上述合同文件内容互为补充，如有不明确，由甲方负责解释。</w:t>
      </w:r>
    </w:p>
    <w:p>
      <w:pPr>
        <w:numPr>
          <w:ilvl w:val="0"/>
          <w:numId w:val="8"/>
        </w:num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合同份数</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本合同一式四份，中文书写，甲乙双方各执两份。</w:t>
      </w:r>
    </w:p>
    <w:p>
      <w:pPr>
        <w:adjustRightInd w:val="0"/>
        <w:snapToGrid w:val="0"/>
        <w:spacing w:line="360" w:lineRule="auto"/>
        <w:ind w:firstLine="480" w:firstLineChars="200"/>
        <w:rPr>
          <w:rStyle w:val="32"/>
          <w:rFonts w:cs="Times New Roman"/>
          <w:color w:val="auto"/>
          <w:sz w:val="24"/>
          <w:szCs w:val="24"/>
          <w:highlight w:val="none"/>
          <w:u w:val="single" w:color="000000"/>
        </w:rPr>
      </w:pPr>
      <w:r>
        <w:rPr>
          <w:rStyle w:val="32"/>
          <w:rFonts w:cs="Times New Roman"/>
          <w:color w:val="auto"/>
          <w:sz w:val="24"/>
          <w:szCs w:val="24"/>
          <w:highlight w:val="none"/>
        </w:rPr>
        <w:t>甲方：</w:t>
      </w:r>
      <w:r>
        <w:rPr>
          <w:rStyle w:val="32"/>
          <w:rFonts w:cs="Times New Roman"/>
          <w:color w:val="auto"/>
          <w:sz w:val="24"/>
          <w:szCs w:val="24"/>
          <w:highlight w:val="none"/>
          <w:u w:val="single" w:color="000000"/>
        </w:rPr>
        <w:t xml:space="preserve">              </w:t>
      </w:r>
    </w:p>
    <w:p>
      <w:pPr>
        <w:adjustRightInd w:val="0"/>
        <w:snapToGrid w:val="0"/>
        <w:spacing w:line="360" w:lineRule="auto"/>
        <w:ind w:firstLine="480" w:firstLineChars="200"/>
        <w:rPr>
          <w:rStyle w:val="32"/>
          <w:rFonts w:cs="Times New Roman"/>
          <w:color w:val="auto"/>
          <w:sz w:val="24"/>
          <w:szCs w:val="24"/>
          <w:highlight w:val="none"/>
          <w:u w:val="single" w:color="000000"/>
        </w:rPr>
      </w:pPr>
      <w:r>
        <w:rPr>
          <w:rStyle w:val="32"/>
          <w:rFonts w:cs="Times New Roman"/>
          <w:color w:val="auto"/>
          <w:sz w:val="24"/>
          <w:szCs w:val="24"/>
          <w:highlight w:val="none"/>
        </w:rPr>
        <w:t>地址：</w:t>
      </w:r>
      <w:r>
        <w:rPr>
          <w:rStyle w:val="32"/>
          <w:rFonts w:cs="Times New Roman"/>
          <w:color w:val="auto"/>
          <w:sz w:val="24"/>
          <w:szCs w:val="24"/>
          <w:highlight w:val="none"/>
          <w:u w:val="single" w:color="000000"/>
        </w:rPr>
        <w:t xml:space="preserve">              </w:t>
      </w:r>
    </w:p>
    <w:p>
      <w:pPr>
        <w:adjustRightInd w:val="0"/>
        <w:snapToGrid w:val="0"/>
        <w:spacing w:line="360" w:lineRule="auto"/>
        <w:ind w:firstLine="480" w:firstLineChars="200"/>
        <w:rPr>
          <w:rStyle w:val="32"/>
          <w:rFonts w:cs="Times New Roman"/>
          <w:color w:val="auto"/>
          <w:sz w:val="24"/>
          <w:szCs w:val="24"/>
          <w:highlight w:val="none"/>
          <w:u w:val="single" w:color="000000"/>
        </w:rPr>
      </w:pPr>
      <w:r>
        <w:rPr>
          <w:rStyle w:val="32"/>
          <w:rFonts w:cs="Times New Roman"/>
          <w:color w:val="auto"/>
          <w:sz w:val="24"/>
          <w:szCs w:val="24"/>
          <w:highlight w:val="none"/>
        </w:rPr>
        <w:t>法定（授权）代表人：</w:t>
      </w:r>
      <w:r>
        <w:rPr>
          <w:rStyle w:val="32"/>
          <w:rFonts w:cs="Times New Roman"/>
          <w:color w:val="auto"/>
          <w:sz w:val="24"/>
          <w:szCs w:val="24"/>
          <w:highlight w:val="none"/>
          <w:u w:val="single" w:color="000000"/>
        </w:rPr>
        <w:t xml:space="preserve">       </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二〇一</w:t>
      </w:r>
      <w:r>
        <w:rPr>
          <w:rStyle w:val="32"/>
          <w:rFonts w:cs="Times New Roman"/>
          <w:color w:val="auto"/>
          <w:sz w:val="24"/>
          <w:szCs w:val="24"/>
          <w:highlight w:val="none"/>
          <w:u w:val="single" w:color="000000"/>
        </w:rPr>
        <w:t xml:space="preserve">  </w:t>
      </w:r>
      <w:r>
        <w:rPr>
          <w:rStyle w:val="32"/>
          <w:rFonts w:cs="Times New Roman"/>
          <w:color w:val="auto"/>
          <w:sz w:val="24"/>
          <w:szCs w:val="24"/>
          <w:highlight w:val="none"/>
        </w:rPr>
        <w:t>年</w:t>
      </w:r>
      <w:r>
        <w:rPr>
          <w:rStyle w:val="32"/>
          <w:rFonts w:cs="Times New Roman"/>
          <w:color w:val="auto"/>
          <w:sz w:val="24"/>
          <w:szCs w:val="24"/>
          <w:highlight w:val="none"/>
          <w:u w:val="single" w:color="000000"/>
        </w:rPr>
        <w:t xml:space="preserve">  </w:t>
      </w:r>
      <w:r>
        <w:rPr>
          <w:rStyle w:val="32"/>
          <w:rFonts w:cs="Times New Roman"/>
          <w:color w:val="auto"/>
          <w:sz w:val="24"/>
          <w:szCs w:val="24"/>
          <w:highlight w:val="none"/>
        </w:rPr>
        <w:t>月</w:t>
      </w:r>
      <w:r>
        <w:rPr>
          <w:rStyle w:val="32"/>
          <w:rFonts w:cs="Times New Roman"/>
          <w:color w:val="auto"/>
          <w:sz w:val="24"/>
          <w:szCs w:val="24"/>
          <w:highlight w:val="none"/>
          <w:u w:val="single" w:color="000000"/>
        </w:rPr>
        <w:t xml:space="preserve">  </w:t>
      </w:r>
      <w:r>
        <w:rPr>
          <w:rStyle w:val="32"/>
          <w:rFonts w:cs="Times New Roman"/>
          <w:color w:val="auto"/>
          <w:sz w:val="24"/>
          <w:szCs w:val="24"/>
          <w:highlight w:val="none"/>
        </w:rPr>
        <w:t xml:space="preserve">日 </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乙方：</w:t>
      </w:r>
      <w:r>
        <w:rPr>
          <w:rStyle w:val="32"/>
          <w:rFonts w:cs="Times New Roman"/>
          <w:color w:val="auto"/>
          <w:sz w:val="24"/>
          <w:szCs w:val="24"/>
          <w:highlight w:val="none"/>
          <w:u w:val="single" w:color="000000"/>
        </w:rPr>
        <w:t xml:space="preserve">    （盖章）</w:t>
      </w:r>
    </w:p>
    <w:p>
      <w:pPr>
        <w:adjustRightInd w:val="0"/>
        <w:snapToGrid w:val="0"/>
        <w:spacing w:line="360" w:lineRule="auto"/>
        <w:ind w:firstLine="480" w:firstLineChars="200"/>
        <w:rPr>
          <w:rStyle w:val="32"/>
          <w:rFonts w:cs="Times New Roman"/>
          <w:color w:val="auto"/>
          <w:sz w:val="24"/>
          <w:szCs w:val="24"/>
          <w:highlight w:val="none"/>
          <w:u w:val="single" w:color="000000"/>
        </w:rPr>
      </w:pPr>
      <w:r>
        <w:rPr>
          <w:rStyle w:val="32"/>
          <w:rFonts w:cs="Times New Roman"/>
          <w:color w:val="auto"/>
          <w:sz w:val="24"/>
          <w:szCs w:val="24"/>
          <w:highlight w:val="none"/>
        </w:rPr>
        <w:t>地址：</w:t>
      </w:r>
      <w:r>
        <w:rPr>
          <w:rStyle w:val="32"/>
          <w:rFonts w:cs="Times New Roman"/>
          <w:color w:val="auto"/>
          <w:sz w:val="24"/>
          <w:szCs w:val="24"/>
          <w:highlight w:val="none"/>
          <w:u w:val="single" w:color="000000"/>
        </w:rPr>
        <w:t xml:space="preserve">                    </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法定（授权）代表人：</w:t>
      </w:r>
      <w:r>
        <w:rPr>
          <w:rStyle w:val="32"/>
          <w:rFonts w:cs="Times New Roman"/>
          <w:color w:val="auto"/>
          <w:sz w:val="24"/>
          <w:szCs w:val="24"/>
          <w:highlight w:val="none"/>
          <w:u w:val="single" w:color="000000"/>
        </w:rPr>
        <w:t xml:space="preserve">        </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二〇一</w:t>
      </w:r>
      <w:r>
        <w:rPr>
          <w:rStyle w:val="32"/>
          <w:rFonts w:cs="Times New Roman"/>
          <w:color w:val="auto"/>
          <w:sz w:val="24"/>
          <w:szCs w:val="24"/>
          <w:highlight w:val="none"/>
          <w:u w:val="single" w:color="000000"/>
        </w:rPr>
        <w:t xml:space="preserve">  </w:t>
      </w:r>
      <w:r>
        <w:rPr>
          <w:rStyle w:val="32"/>
          <w:rFonts w:cs="Times New Roman"/>
          <w:color w:val="auto"/>
          <w:sz w:val="24"/>
          <w:szCs w:val="24"/>
          <w:highlight w:val="none"/>
        </w:rPr>
        <w:t>年</w:t>
      </w:r>
      <w:r>
        <w:rPr>
          <w:rStyle w:val="32"/>
          <w:rFonts w:cs="Times New Roman"/>
          <w:color w:val="auto"/>
          <w:sz w:val="24"/>
          <w:szCs w:val="24"/>
          <w:highlight w:val="none"/>
          <w:u w:val="single" w:color="000000"/>
        </w:rPr>
        <w:t xml:space="preserve">  </w:t>
      </w:r>
      <w:r>
        <w:rPr>
          <w:rStyle w:val="32"/>
          <w:rFonts w:cs="Times New Roman"/>
          <w:color w:val="auto"/>
          <w:sz w:val="24"/>
          <w:szCs w:val="24"/>
          <w:highlight w:val="none"/>
        </w:rPr>
        <w:t>月</w:t>
      </w:r>
      <w:r>
        <w:rPr>
          <w:rStyle w:val="32"/>
          <w:rFonts w:cs="Times New Roman"/>
          <w:color w:val="auto"/>
          <w:sz w:val="24"/>
          <w:szCs w:val="24"/>
          <w:highlight w:val="none"/>
          <w:u w:val="single" w:color="000000"/>
        </w:rPr>
        <w:t xml:space="preserve">  </w:t>
      </w:r>
      <w:r>
        <w:rPr>
          <w:rStyle w:val="32"/>
          <w:rFonts w:cs="Times New Roman"/>
          <w:color w:val="auto"/>
          <w:sz w:val="24"/>
          <w:szCs w:val="24"/>
          <w:highlight w:val="none"/>
        </w:rPr>
        <w:t>日</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户名：</w:t>
      </w:r>
      <w:r>
        <w:rPr>
          <w:rStyle w:val="32"/>
          <w:rFonts w:cs="Times New Roman"/>
          <w:color w:val="auto"/>
          <w:sz w:val="24"/>
          <w:szCs w:val="24"/>
          <w:highlight w:val="none"/>
          <w:u w:val="single" w:color="000000"/>
        </w:rPr>
        <w:t xml:space="preserve">                         </w:t>
      </w:r>
      <w:r>
        <w:rPr>
          <w:rStyle w:val="32"/>
          <w:rFonts w:cs="Times New Roman"/>
          <w:color w:val="auto"/>
          <w:sz w:val="24"/>
          <w:szCs w:val="24"/>
          <w:highlight w:val="none"/>
        </w:rPr>
        <w:t xml:space="preserve"> </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开户银行：</w:t>
      </w:r>
      <w:r>
        <w:rPr>
          <w:rStyle w:val="32"/>
          <w:rFonts w:cs="Times New Roman"/>
          <w:color w:val="auto"/>
          <w:sz w:val="24"/>
          <w:szCs w:val="24"/>
          <w:highlight w:val="none"/>
          <w:u w:val="single" w:color="000000"/>
        </w:rPr>
        <w:t xml:space="preserve">                     </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账号：</w:t>
      </w:r>
      <w:r>
        <w:rPr>
          <w:rStyle w:val="32"/>
          <w:rFonts w:cs="Times New Roman"/>
          <w:color w:val="auto"/>
          <w:sz w:val="24"/>
          <w:szCs w:val="24"/>
          <w:highlight w:val="none"/>
          <w:u w:val="single" w:color="000000"/>
        </w:rPr>
        <w:t xml:space="preserve">                         </w:t>
      </w:r>
      <w:r>
        <w:rPr>
          <w:rStyle w:val="32"/>
          <w:rFonts w:cs="Times New Roman"/>
          <w:color w:val="auto"/>
          <w:sz w:val="24"/>
          <w:szCs w:val="24"/>
          <w:highlight w:val="none"/>
        </w:rPr>
        <w:t xml:space="preserve"> </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提示：发包人保留对合同修改的权利。</w:t>
      </w:r>
    </w:p>
    <w:p>
      <w:pPr>
        <w:rPr>
          <w:rFonts w:eastAsia="微软雅黑" w:cs="Times New Roman"/>
          <w:b/>
          <w:color w:val="auto"/>
          <w:highlight w:val="none"/>
        </w:rPr>
      </w:pPr>
    </w:p>
    <w:p>
      <w:pPr>
        <w:pStyle w:val="2"/>
        <w:ind w:left="0"/>
        <w:rPr>
          <w:rFonts w:ascii="Times New Roman" w:cs="Times New Roman"/>
          <w:color w:val="auto"/>
          <w:highlight w:val="none"/>
        </w:rPr>
      </w:pPr>
      <w:r>
        <w:rPr>
          <w:rStyle w:val="32"/>
          <w:rFonts w:ascii="Times New Roman" w:eastAsia="宋体" w:cs="Times New Roman"/>
          <w:color w:val="auto"/>
          <w:kern w:val="2"/>
          <w:sz w:val="22"/>
          <w:szCs w:val="22"/>
          <w:highlight w:val="none"/>
        </w:rPr>
        <w:t>注：《</w:t>
      </w:r>
      <w:r>
        <w:rPr>
          <w:rFonts w:hint="eastAsia" w:ascii="Times New Roman" w:eastAsia="微软雅黑" w:cs="Times New Roman"/>
          <w:b/>
          <w:color w:val="auto"/>
          <w:sz w:val="22"/>
          <w:szCs w:val="18"/>
          <w:highlight w:val="none"/>
          <w:lang w:eastAsia="zh-CN"/>
        </w:rPr>
        <w:t>如皋市交通产业集团有限公司</w:t>
      </w:r>
      <w:r>
        <w:rPr>
          <w:rFonts w:ascii="Times New Roman" w:eastAsia="微软雅黑" w:cs="Times New Roman"/>
          <w:b/>
          <w:color w:val="auto"/>
          <w:sz w:val="22"/>
          <w:szCs w:val="18"/>
          <w:highlight w:val="none"/>
        </w:rPr>
        <w:t>建设工程供应商名录库管理办法》</w:t>
      </w:r>
      <w:r>
        <w:rPr>
          <w:rFonts w:hint="eastAsia" w:ascii="Times New Roman" w:eastAsia="微软雅黑" w:cs="Times New Roman"/>
          <w:b/>
          <w:color w:val="auto"/>
          <w:sz w:val="22"/>
          <w:szCs w:val="18"/>
          <w:highlight w:val="none"/>
        </w:rPr>
        <w:t>（试行）</w:t>
      </w:r>
      <w:r>
        <w:rPr>
          <w:rFonts w:hint="eastAsia" w:ascii="Times New Roman" w:eastAsia="微软雅黑" w:cs="Times New Roman"/>
          <w:b/>
          <w:color w:val="auto"/>
          <w:sz w:val="22"/>
          <w:szCs w:val="18"/>
          <w:highlight w:val="none"/>
          <w:lang w:val="en-US" w:eastAsia="zh-CN"/>
        </w:rPr>
        <w:t>详见附件</w:t>
      </w:r>
      <w:r>
        <w:rPr>
          <w:rFonts w:hint="eastAsia" w:ascii="Times New Roman" w:eastAsia="微软雅黑" w:cs="Times New Roman"/>
          <w:b/>
          <w:color w:val="auto"/>
          <w:sz w:val="22"/>
          <w:szCs w:val="18"/>
          <w:highlight w:val="none"/>
        </w:rPr>
        <w:t>。</w:t>
      </w: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adjustRightInd w:val="0"/>
        <w:snapToGrid w:val="0"/>
        <w:spacing w:line="360" w:lineRule="auto"/>
        <w:ind w:firstLine="480" w:firstLineChars="200"/>
        <w:jc w:val="center"/>
        <w:rPr>
          <w:rStyle w:val="32"/>
          <w:rFonts w:eastAsia="黑体" w:cs="Times New Roman"/>
          <w:b/>
          <w:bCs/>
          <w:color w:val="auto"/>
          <w:sz w:val="44"/>
          <w:szCs w:val="28"/>
          <w:highlight w:val="none"/>
        </w:rPr>
      </w:pPr>
      <w:r>
        <w:rPr>
          <w:rStyle w:val="32"/>
          <w:rFonts w:cs="Times New Roman"/>
          <w:color w:val="auto"/>
          <w:sz w:val="24"/>
          <w:szCs w:val="24"/>
          <w:highlight w:val="none"/>
        </w:rPr>
        <w:br w:type="page"/>
      </w:r>
      <w:r>
        <w:rPr>
          <w:rStyle w:val="32"/>
          <w:rFonts w:eastAsia="黑体" w:cs="Times New Roman"/>
          <w:b/>
          <w:bCs/>
          <w:color w:val="auto"/>
          <w:sz w:val="44"/>
          <w:szCs w:val="28"/>
          <w:highlight w:val="none"/>
        </w:rPr>
        <w:t>第六章  质疑与投诉</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一、质疑的提出</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1、质疑人必须是直接参加本次投标活动的当事人。</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2、下载招标文件的供应商应根据第二章“投标供应商须知”中第一条第4款的约定提出；响应文件接收截止后，供应商未进行投标登记的，不能就响应文件接收截止后的招投标过程、中标结果提出质疑；在投标过程中，凡主持人或评标小组明确提出须由供应商确认的事项，供应商当场无异议的，事后不得提出质疑。</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3、提出质疑时，必须坚持“谁主张，谁举证”、“实事求是”的原则，不能臆测。属于须由法定部门调查、侦查或先行作出相关认定的事项，质疑人应当依法申请具有法定职权的部门查清、认定，并将相关结果提供给采购人或代理机构。采购人或代理机构不具有法定调查、认定权限。</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对不能提供相关佐证材料的、涉及商业秘密的、非书面形式的、非送达的、匿名的《质疑函》将不予受理。</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相关佐证材料要具备客观性、关联性、合法性，无法查实的（如宣传册、媒体报道、猜测、推理等）不能作为佐证材料。</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采购人或代理机构不负责搜集相关佐证材料等工作。</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二、《质疑函》的受理和回复</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1、《质疑函》须由质疑人的法定代表人或参加本次投标授权人送达采购人和代理机构。</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2、对符合提出质疑要求的，采购人、代理机构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3、对不符合提出质疑要求的，出具《质疑退回通知书》并提出相关补充材料要求，质疑人未在规定的时间内提供补充佐证材料的，视同放弃质疑。</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4、采购单位、代理机构负责将质疑人提出的质疑相关材料提供给相关专家或评标小组审核，并将审核意见回复质疑人。</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5、因质疑情况复杂，组织论证或审查时间较长的，采购单位、代理机构以书面形式通知质疑人，可适当延长质疑回复处理时间。</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三、质疑处理</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1、质疑成立的处理。采购单位或代理机构终止采购，并建议有关部门给相关当事人予以处理。</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2、质疑不成立的处理。</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1）质疑人书面《申请撤回质疑函》的，不作违约处理。</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2）质疑人在规定的时间内不配合进行质疑调查处理的，按自动撤回《质疑函》处理。</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3）质疑人不按《质疑函》格式就提出质疑的，作违约处理。同时，视情列入不良供应商名单。</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4）质疑人虽提供了相关佐证材料，但不能证明其质疑成立的，采购单位或代理机构请质疑人补充相关佐证材料，仍不能证明其质疑成立的，作违约处理。并将其列入不良供应商名单。</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5）质疑人不能提供相关佐证材料的，采购单位、代理机构已指出，质疑人仍然坚持提出质疑的，作违约处理。同时，列入不良供应商名单。</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6）对明显有违事实的、经相关专家或评标小组认定无依据的、经其他供应商举证无依据的质疑，作违约处理，列入不良供应商名单；同时，对其中每一项不成立的质疑给予质疑人1年内禁入本区域内的采购活动的违约处理，依次类推；视情在南通沿海集团网、省、国家级相关媒体予以披露。</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7）质疑人承担使用虚假材料或恶意方式质疑的法律责任。</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四、无佐证材料的举报作违约处理。供应商不得进行不提供相关佐证材料（含无法查实的如宣传册、媒体报道、猜测、推理等）向有关部门的举报，否则作违约处理。同时对其在1至3年内禁入由采购人组织的采购活动的违约处理。</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五、投诉不成立的作违约处理。供应商进行质疑后，采购人回复质疑不成立，供应商仍进行投诉的，并最终投诉不成立的，作违约处理。采购人有权对其在1至3年内禁入由采购人组织的采购活动的违约处理。</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六、《质疑函》、《质疑回复函》，质疑、举报、投诉不成立的等相关情况，视情在南通沿海集团网、省、国家级等相关媒体予以披露。</w:t>
      </w:r>
    </w:p>
    <w:p>
      <w:pPr>
        <w:adjustRightInd w:val="0"/>
        <w:snapToGrid w:val="0"/>
        <w:spacing w:line="360" w:lineRule="auto"/>
        <w:ind w:firstLine="480" w:firstLineChars="200"/>
        <w:rPr>
          <w:rStyle w:val="32"/>
          <w:rFonts w:cs="Times New Roman"/>
          <w:color w:val="auto"/>
          <w:sz w:val="24"/>
          <w:szCs w:val="24"/>
          <w:highlight w:val="none"/>
        </w:rPr>
      </w:pPr>
      <w:r>
        <w:rPr>
          <w:rStyle w:val="32"/>
          <w:rFonts w:cs="Times New Roman"/>
          <w:color w:val="auto"/>
          <w:sz w:val="24"/>
          <w:szCs w:val="24"/>
          <w:highlight w:val="none"/>
        </w:rPr>
        <w:t>七、质疑供应商对采购人或代理机构的答复不满意或者采购人或代理机构未在规定的时间内作出答复的，可以在答复期满后15个工作日内向采购监督管理部门投诉。</w:t>
      </w:r>
    </w:p>
    <w:p>
      <w:pPr>
        <w:adjustRightInd w:val="0"/>
        <w:snapToGrid w:val="0"/>
        <w:spacing w:line="360" w:lineRule="auto"/>
        <w:ind w:firstLine="200"/>
        <w:rPr>
          <w:rStyle w:val="32"/>
          <w:rFonts w:cs="Times New Roman"/>
          <w:color w:val="auto"/>
          <w:sz w:val="24"/>
          <w:szCs w:val="24"/>
          <w:highlight w:val="none"/>
        </w:rPr>
      </w:pPr>
    </w:p>
    <w:p>
      <w:pPr>
        <w:pStyle w:val="22"/>
        <w:snapToGrid w:val="0"/>
        <w:spacing w:line="500" w:lineRule="exact"/>
        <w:ind w:firstLine="386" w:firstLineChars="200"/>
        <w:rPr>
          <w:rStyle w:val="32"/>
          <w:rFonts w:ascii="Times New Roman" w:eastAsia="宋体" w:cs="Times New Roman"/>
          <w:b/>
          <w:bCs/>
          <w:color w:val="auto"/>
          <w:w w:val="80"/>
          <w:kern w:val="44"/>
          <w:sz w:val="24"/>
          <w:szCs w:val="24"/>
          <w:highlight w:val="none"/>
        </w:rPr>
      </w:pPr>
      <w:r>
        <w:rPr>
          <w:rStyle w:val="32"/>
          <w:rFonts w:ascii="Times New Roman" w:eastAsia="宋体" w:cs="Times New Roman"/>
          <w:b/>
          <w:bCs/>
          <w:color w:val="auto"/>
          <w:w w:val="80"/>
          <w:kern w:val="44"/>
          <w:sz w:val="24"/>
          <w:szCs w:val="24"/>
          <w:highlight w:val="none"/>
        </w:rPr>
        <w:br w:type="textWrapping"/>
      </w:r>
    </w:p>
    <w:p>
      <w:pPr>
        <w:pStyle w:val="22"/>
        <w:snapToGrid w:val="0"/>
        <w:spacing w:line="500" w:lineRule="exact"/>
        <w:ind w:firstLine="880" w:firstLineChars="200"/>
        <w:rPr>
          <w:rStyle w:val="32"/>
          <w:rFonts w:ascii="Times New Roman" w:eastAsia="黑体" w:cs="Times New Roman"/>
          <w:bCs/>
          <w:color w:val="auto"/>
          <w:sz w:val="44"/>
          <w:highlight w:val="none"/>
        </w:rPr>
      </w:pPr>
      <w:r>
        <w:rPr>
          <w:rStyle w:val="32"/>
          <w:rFonts w:ascii="Times New Roman" w:eastAsia="黑体" w:cs="Times New Roman"/>
          <w:bCs/>
          <w:color w:val="auto"/>
          <w:sz w:val="44"/>
          <w:highlight w:val="none"/>
        </w:rPr>
        <w:br w:type="page"/>
      </w:r>
      <w:r>
        <w:rPr>
          <w:rStyle w:val="32"/>
          <w:rFonts w:ascii="Times New Roman" w:eastAsia="黑体" w:cs="Times New Roman"/>
          <w:bCs/>
          <w:color w:val="auto"/>
          <w:sz w:val="44"/>
          <w:highlight w:val="none"/>
        </w:rPr>
        <w:t>第七章  投标文件格式及组成</w:t>
      </w:r>
    </w:p>
    <w:p>
      <w:pPr>
        <w:snapToGrid w:val="0"/>
        <w:spacing w:line="300" w:lineRule="auto"/>
        <w:ind w:firstLine="555"/>
        <w:jc w:val="left"/>
        <w:rPr>
          <w:rStyle w:val="32"/>
          <w:rFonts w:cs="Times New Roman"/>
          <w:b/>
          <w:color w:val="auto"/>
          <w:sz w:val="24"/>
          <w:szCs w:val="24"/>
          <w:highlight w:val="none"/>
        </w:rPr>
      </w:pPr>
    </w:p>
    <w:p>
      <w:pPr>
        <w:snapToGrid w:val="0"/>
        <w:spacing w:line="300" w:lineRule="auto"/>
        <w:ind w:firstLine="555"/>
        <w:jc w:val="left"/>
        <w:rPr>
          <w:rStyle w:val="32"/>
          <w:rFonts w:cs="Times New Roman"/>
          <w:b/>
          <w:color w:val="auto"/>
          <w:sz w:val="24"/>
          <w:szCs w:val="24"/>
          <w:highlight w:val="none"/>
        </w:rPr>
      </w:pPr>
      <w:r>
        <w:rPr>
          <w:rStyle w:val="32"/>
          <w:rFonts w:cs="Times New Roman"/>
          <w:b/>
          <w:color w:val="auto"/>
          <w:sz w:val="24"/>
          <w:szCs w:val="24"/>
          <w:highlight w:val="none"/>
        </w:rPr>
        <w:t>投标文件由资格证明材料包、商务技术标、组成。</w:t>
      </w:r>
    </w:p>
    <w:p>
      <w:pPr>
        <w:snapToGrid w:val="0"/>
        <w:spacing w:line="360" w:lineRule="auto"/>
        <w:jc w:val="left"/>
        <w:rPr>
          <w:rStyle w:val="32"/>
          <w:rFonts w:cs="Times New Roman"/>
          <w:b/>
          <w:color w:val="auto"/>
          <w:sz w:val="32"/>
          <w:szCs w:val="24"/>
          <w:highlight w:val="none"/>
        </w:rPr>
      </w:pPr>
      <w:r>
        <w:rPr>
          <w:rStyle w:val="32"/>
          <w:rFonts w:cs="Times New Roman"/>
          <w:b/>
          <w:bCs/>
          <w:color w:val="auto"/>
          <w:sz w:val="32"/>
          <w:szCs w:val="32"/>
          <w:highlight w:val="none"/>
        </w:rPr>
        <w:t>封面</w:t>
      </w:r>
    </w:p>
    <w:p>
      <w:pPr>
        <w:snapToGrid w:val="0"/>
        <w:spacing w:line="360" w:lineRule="auto"/>
        <w:jc w:val="center"/>
        <w:rPr>
          <w:rStyle w:val="32"/>
          <w:rFonts w:cs="Times New Roman"/>
          <w:color w:val="auto"/>
          <w:sz w:val="44"/>
          <w:szCs w:val="44"/>
          <w:highlight w:val="none"/>
        </w:rPr>
      </w:pPr>
      <w:r>
        <w:rPr>
          <w:rStyle w:val="32"/>
          <w:rFonts w:cs="Times New Roman"/>
          <w:color w:val="auto"/>
          <w:sz w:val="44"/>
          <w:szCs w:val="44"/>
          <w:highlight w:val="none"/>
        </w:rPr>
        <w:t xml:space="preserve"> </w:t>
      </w:r>
    </w:p>
    <w:p>
      <w:pPr>
        <w:snapToGrid w:val="0"/>
        <w:spacing w:line="360" w:lineRule="auto"/>
        <w:jc w:val="center"/>
        <w:rPr>
          <w:rStyle w:val="32"/>
          <w:rFonts w:cs="Times New Roman"/>
          <w:color w:val="auto"/>
          <w:sz w:val="44"/>
          <w:szCs w:val="44"/>
          <w:highlight w:val="none"/>
        </w:rPr>
      </w:pPr>
      <w:r>
        <w:rPr>
          <w:rStyle w:val="32"/>
          <w:rFonts w:cs="Times New Roman"/>
          <w:color w:val="auto"/>
          <w:sz w:val="44"/>
          <w:szCs w:val="44"/>
          <w:highlight w:val="none"/>
          <w:u w:val="single" w:color="000000"/>
        </w:rPr>
        <w:t xml:space="preserve"> （项目名称）    </w:t>
      </w:r>
      <w:r>
        <w:rPr>
          <w:rStyle w:val="32"/>
          <w:rFonts w:cs="Times New Roman"/>
          <w:color w:val="auto"/>
          <w:sz w:val="44"/>
          <w:szCs w:val="44"/>
          <w:highlight w:val="none"/>
        </w:rPr>
        <w:t>招标</w:t>
      </w:r>
    </w:p>
    <w:p>
      <w:pPr>
        <w:snapToGrid w:val="0"/>
        <w:spacing w:line="360" w:lineRule="auto"/>
        <w:jc w:val="center"/>
        <w:rPr>
          <w:rStyle w:val="32"/>
          <w:rFonts w:cs="Times New Roman"/>
          <w:color w:val="auto"/>
          <w:sz w:val="28"/>
          <w:szCs w:val="28"/>
          <w:highlight w:val="none"/>
          <w:u w:val="single"/>
        </w:rPr>
      </w:pPr>
      <w:r>
        <w:rPr>
          <w:rStyle w:val="32"/>
          <w:rFonts w:cs="Times New Roman"/>
          <w:color w:val="auto"/>
          <w:sz w:val="28"/>
          <w:szCs w:val="28"/>
          <w:highlight w:val="none"/>
          <w:u w:val="single"/>
        </w:rPr>
        <w:t xml:space="preserve">          </w:t>
      </w:r>
      <w:r>
        <w:rPr>
          <w:rStyle w:val="32"/>
          <w:rFonts w:cs="Times New Roman"/>
          <w:color w:val="auto"/>
          <w:sz w:val="44"/>
          <w:szCs w:val="44"/>
          <w:highlight w:val="none"/>
        </w:rPr>
        <w:t xml:space="preserve"> 标段</w:t>
      </w:r>
    </w:p>
    <w:p>
      <w:pPr>
        <w:snapToGrid w:val="0"/>
        <w:spacing w:line="360" w:lineRule="auto"/>
        <w:jc w:val="center"/>
        <w:rPr>
          <w:rStyle w:val="32"/>
          <w:rFonts w:cs="Times New Roman"/>
          <w:color w:val="auto"/>
          <w:sz w:val="72"/>
          <w:szCs w:val="72"/>
          <w:highlight w:val="none"/>
        </w:rPr>
      </w:pPr>
    </w:p>
    <w:p>
      <w:pPr>
        <w:snapToGrid w:val="0"/>
        <w:spacing w:line="360" w:lineRule="auto"/>
        <w:jc w:val="center"/>
        <w:rPr>
          <w:rStyle w:val="32"/>
          <w:rFonts w:cs="Times New Roman"/>
          <w:color w:val="auto"/>
          <w:sz w:val="96"/>
          <w:szCs w:val="96"/>
          <w:highlight w:val="none"/>
        </w:rPr>
      </w:pPr>
      <w:r>
        <w:rPr>
          <w:rStyle w:val="32"/>
          <w:rFonts w:cs="Times New Roman"/>
          <w:color w:val="auto"/>
          <w:sz w:val="96"/>
          <w:szCs w:val="96"/>
          <w:highlight w:val="none"/>
        </w:rPr>
        <w:t>投 标 文 件</w:t>
      </w:r>
    </w:p>
    <w:p>
      <w:pPr>
        <w:snapToGrid w:val="0"/>
        <w:spacing w:line="360" w:lineRule="auto"/>
        <w:jc w:val="center"/>
        <w:rPr>
          <w:rStyle w:val="32"/>
          <w:rFonts w:cs="Times New Roman"/>
          <w:color w:val="auto"/>
          <w:sz w:val="28"/>
          <w:szCs w:val="28"/>
          <w:highlight w:val="none"/>
        </w:rPr>
      </w:pPr>
      <w:r>
        <w:rPr>
          <w:rStyle w:val="32"/>
          <w:rFonts w:cs="Times New Roman"/>
          <w:color w:val="auto"/>
          <w:sz w:val="28"/>
          <w:szCs w:val="28"/>
          <w:highlight w:val="none"/>
        </w:rPr>
        <w:t xml:space="preserve">招标编号： </w:t>
      </w:r>
    </w:p>
    <w:p>
      <w:pPr>
        <w:snapToGrid w:val="0"/>
        <w:spacing w:line="360" w:lineRule="auto"/>
        <w:jc w:val="center"/>
        <w:rPr>
          <w:rStyle w:val="32"/>
          <w:rFonts w:cs="Times New Roman"/>
          <w:b/>
          <w:color w:val="auto"/>
          <w:sz w:val="28"/>
          <w:szCs w:val="28"/>
          <w:highlight w:val="none"/>
        </w:rPr>
      </w:pPr>
      <w:r>
        <w:rPr>
          <w:rStyle w:val="32"/>
          <w:rFonts w:cs="Times New Roman"/>
          <w:b/>
          <w:color w:val="auto"/>
          <w:sz w:val="28"/>
          <w:szCs w:val="28"/>
          <w:highlight w:val="none"/>
        </w:rPr>
        <w:t>（资格证明材料包）</w:t>
      </w:r>
    </w:p>
    <w:p>
      <w:pPr>
        <w:snapToGrid w:val="0"/>
        <w:spacing w:line="360" w:lineRule="auto"/>
        <w:jc w:val="center"/>
        <w:rPr>
          <w:rStyle w:val="32"/>
          <w:rFonts w:cs="Times New Roman"/>
          <w:color w:val="auto"/>
          <w:sz w:val="28"/>
          <w:szCs w:val="28"/>
          <w:highlight w:val="none"/>
        </w:rPr>
      </w:pPr>
    </w:p>
    <w:p>
      <w:pPr>
        <w:snapToGrid w:val="0"/>
        <w:spacing w:line="360" w:lineRule="auto"/>
        <w:jc w:val="center"/>
        <w:rPr>
          <w:rStyle w:val="32"/>
          <w:rFonts w:cs="Times New Roman"/>
          <w:color w:val="auto"/>
          <w:sz w:val="28"/>
          <w:szCs w:val="28"/>
          <w:highlight w:val="none"/>
        </w:rPr>
      </w:pPr>
    </w:p>
    <w:p>
      <w:pPr>
        <w:snapToGrid w:val="0"/>
        <w:spacing w:line="360" w:lineRule="auto"/>
        <w:ind w:firstLine="708" w:firstLineChars="253"/>
        <w:jc w:val="left"/>
        <w:rPr>
          <w:rStyle w:val="32"/>
          <w:rFonts w:cs="Times New Roman"/>
          <w:color w:val="auto"/>
          <w:sz w:val="28"/>
          <w:szCs w:val="28"/>
          <w:highlight w:val="none"/>
          <w:u w:val="single" w:color="000000"/>
        </w:rPr>
      </w:pPr>
      <w:r>
        <w:rPr>
          <w:rStyle w:val="32"/>
          <w:rFonts w:cs="Times New Roman"/>
          <w:color w:val="auto"/>
          <w:sz w:val="28"/>
          <w:szCs w:val="28"/>
          <w:highlight w:val="none"/>
        </w:rPr>
        <w:t>招    标   人：</w:t>
      </w:r>
      <w:r>
        <w:rPr>
          <w:rStyle w:val="32"/>
          <w:rFonts w:cs="Times New Roman"/>
          <w:color w:val="auto"/>
          <w:sz w:val="28"/>
          <w:szCs w:val="28"/>
          <w:highlight w:val="none"/>
          <w:u w:val="single" w:color="000000"/>
        </w:rPr>
        <w:t xml:space="preserve">                                 </w:t>
      </w:r>
    </w:p>
    <w:p>
      <w:pPr>
        <w:snapToGrid w:val="0"/>
        <w:spacing w:line="360" w:lineRule="auto"/>
        <w:ind w:firstLine="708" w:firstLineChars="253"/>
        <w:jc w:val="left"/>
        <w:rPr>
          <w:rStyle w:val="32"/>
          <w:rFonts w:cs="Times New Roman"/>
          <w:color w:val="auto"/>
          <w:sz w:val="28"/>
          <w:szCs w:val="28"/>
          <w:highlight w:val="none"/>
          <w:u w:val="single" w:color="000000"/>
        </w:rPr>
      </w:pPr>
      <w:r>
        <w:rPr>
          <w:rStyle w:val="32"/>
          <w:rFonts w:cs="Times New Roman"/>
          <w:color w:val="auto"/>
          <w:sz w:val="28"/>
          <w:szCs w:val="28"/>
          <w:highlight w:val="none"/>
        </w:rPr>
        <w:t>投标人（盖章）：</w:t>
      </w:r>
      <w:r>
        <w:rPr>
          <w:rStyle w:val="32"/>
          <w:rFonts w:cs="Times New Roman"/>
          <w:color w:val="auto"/>
          <w:sz w:val="28"/>
          <w:szCs w:val="28"/>
          <w:highlight w:val="none"/>
          <w:u w:val="single" w:color="000000"/>
        </w:rPr>
        <w:t xml:space="preserve">                                 </w:t>
      </w:r>
    </w:p>
    <w:p>
      <w:pPr>
        <w:keepLines/>
        <w:snapToGrid w:val="0"/>
        <w:spacing w:before="260" w:after="260" w:line="360" w:lineRule="auto"/>
        <w:ind w:firstLine="700" w:firstLineChars="250"/>
        <w:rPr>
          <w:rStyle w:val="32"/>
          <w:rFonts w:cs="Times New Roman"/>
          <w:bCs/>
          <w:color w:val="auto"/>
          <w:sz w:val="32"/>
          <w:szCs w:val="32"/>
          <w:highlight w:val="none"/>
        </w:rPr>
      </w:pPr>
      <w:r>
        <w:rPr>
          <w:rStyle w:val="32"/>
          <w:rFonts w:cs="Times New Roman"/>
          <w:bCs/>
          <w:color w:val="auto"/>
          <w:sz w:val="28"/>
          <w:szCs w:val="28"/>
          <w:highlight w:val="none"/>
        </w:rPr>
        <w:t>日         期：</w:t>
      </w:r>
      <w:r>
        <w:rPr>
          <w:rStyle w:val="32"/>
          <w:rFonts w:cs="Times New Roman"/>
          <w:bCs/>
          <w:color w:val="auto"/>
          <w:sz w:val="28"/>
          <w:szCs w:val="28"/>
          <w:highlight w:val="none"/>
          <w:u w:val="single" w:color="000000"/>
        </w:rPr>
        <w:t xml:space="preserve">     </w:t>
      </w:r>
      <w:r>
        <w:rPr>
          <w:rStyle w:val="32"/>
          <w:rFonts w:cs="Times New Roman"/>
          <w:bCs/>
          <w:color w:val="auto"/>
          <w:sz w:val="28"/>
          <w:szCs w:val="28"/>
          <w:highlight w:val="none"/>
        </w:rPr>
        <w:t>年</w:t>
      </w:r>
      <w:r>
        <w:rPr>
          <w:rStyle w:val="32"/>
          <w:rFonts w:cs="Times New Roman"/>
          <w:bCs/>
          <w:color w:val="auto"/>
          <w:sz w:val="28"/>
          <w:szCs w:val="28"/>
          <w:highlight w:val="none"/>
          <w:u w:val="single" w:color="000000"/>
        </w:rPr>
        <w:t xml:space="preserve">    </w:t>
      </w:r>
      <w:r>
        <w:rPr>
          <w:rStyle w:val="32"/>
          <w:rFonts w:cs="Times New Roman"/>
          <w:bCs/>
          <w:color w:val="auto"/>
          <w:sz w:val="28"/>
          <w:szCs w:val="28"/>
          <w:highlight w:val="none"/>
        </w:rPr>
        <w:t>月</w:t>
      </w:r>
      <w:r>
        <w:rPr>
          <w:rStyle w:val="32"/>
          <w:rFonts w:cs="Times New Roman"/>
          <w:bCs/>
          <w:color w:val="auto"/>
          <w:sz w:val="28"/>
          <w:szCs w:val="28"/>
          <w:highlight w:val="none"/>
          <w:u w:val="single" w:color="000000"/>
        </w:rPr>
        <w:t xml:space="preserve">     </w:t>
      </w:r>
      <w:r>
        <w:rPr>
          <w:rStyle w:val="32"/>
          <w:rFonts w:cs="Times New Roman"/>
          <w:bCs/>
          <w:color w:val="auto"/>
          <w:sz w:val="28"/>
          <w:szCs w:val="28"/>
          <w:highlight w:val="none"/>
        </w:rPr>
        <w:t>日</w:t>
      </w:r>
      <w:r>
        <w:rPr>
          <w:rStyle w:val="32"/>
          <w:rFonts w:cs="Times New Roman"/>
          <w:bCs/>
          <w:color w:val="auto"/>
          <w:sz w:val="32"/>
          <w:szCs w:val="32"/>
          <w:highlight w:val="none"/>
        </w:rPr>
        <w:br w:type="textWrapping"/>
      </w: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keepLines/>
        <w:snapToGrid w:val="0"/>
        <w:spacing w:before="260" w:after="260" w:line="360" w:lineRule="auto"/>
        <w:ind w:firstLine="800" w:firstLineChars="250"/>
        <w:rPr>
          <w:rStyle w:val="32"/>
          <w:rFonts w:cs="Times New Roman"/>
          <w:bCs/>
          <w:color w:val="auto"/>
          <w:sz w:val="32"/>
          <w:szCs w:val="32"/>
          <w:highlight w:val="none"/>
        </w:rPr>
      </w:pPr>
      <w:r>
        <w:rPr>
          <w:rStyle w:val="32"/>
          <w:rFonts w:cs="Times New Roman"/>
          <w:bCs/>
          <w:color w:val="auto"/>
          <w:sz w:val="32"/>
          <w:szCs w:val="32"/>
          <w:highlight w:val="none"/>
        </w:rPr>
        <w:t>目     录</w:t>
      </w:r>
    </w:p>
    <w:p>
      <w:pPr>
        <w:numPr>
          <w:ilvl w:val="0"/>
          <w:numId w:val="9"/>
        </w:numPr>
        <w:snapToGrid w:val="0"/>
        <w:spacing w:line="360" w:lineRule="auto"/>
        <w:rPr>
          <w:rStyle w:val="32"/>
          <w:rFonts w:cs="Times New Roman"/>
          <w:b/>
          <w:color w:val="auto"/>
          <w:sz w:val="20"/>
          <w:highlight w:val="none"/>
        </w:rPr>
      </w:pPr>
      <w:r>
        <w:rPr>
          <w:rStyle w:val="32"/>
          <w:rFonts w:cs="Times New Roman"/>
          <w:b/>
          <w:color w:val="auto"/>
          <w:highlight w:val="none"/>
        </w:rPr>
        <w:t>资格证明材料包：</w:t>
      </w:r>
    </w:p>
    <w:p>
      <w:pPr>
        <w:snapToGrid w:val="0"/>
        <w:spacing w:line="360" w:lineRule="auto"/>
        <w:rPr>
          <w:rStyle w:val="32"/>
          <w:rFonts w:cs="Times New Roman"/>
          <w:color w:val="auto"/>
          <w:sz w:val="20"/>
          <w:highlight w:val="none"/>
        </w:rPr>
      </w:pPr>
      <w:r>
        <w:rPr>
          <w:rStyle w:val="32"/>
          <w:rFonts w:cs="Times New Roman"/>
          <w:color w:val="auto"/>
          <w:highlight w:val="none"/>
        </w:rPr>
        <w:t>（1）法定代表人身份证明书；</w:t>
      </w:r>
    </w:p>
    <w:p>
      <w:pPr>
        <w:snapToGrid w:val="0"/>
        <w:spacing w:line="360" w:lineRule="auto"/>
        <w:rPr>
          <w:rStyle w:val="32"/>
          <w:rFonts w:cs="Times New Roman"/>
          <w:color w:val="auto"/>
          <w:sz w:val="20"/>
          <w:highlight w:val="none"/>
        </w:rPr>
      </w:pPr>
      <w:r>
        <w:rPr>
          <w:rStyle w:val="32"/>
          <w:rFonts w:cs="Times New Roman"/>
          <w:color w:val="auto"/>
          <w:highlight w:val="none"/>
        </w:rPr>
        <w:t>（2）授权委托书(如有授权)；</w:t>
      </w:r>
    </w:p>
    <w:p>
      <w:pPr>
        <w:snapToGrid w:val="0"/>
        <w:spacing w:line="360" w:lineRule="auto"/>
        <w:rPr>
          <w:rStyle w:val="32"/>
          <w:rFonts w:cs="Times New Roman"/>
          <w:color w:val="auto"/>
          <w:sz w:val="20"/>
          <w:highlight w:val="none"/>
        </w:rPr>
      </w:pPr>
      <w:r>
        <w:rPr>
          <w:rStyle w:val="32"/>
          <w:rFonts w:cs="Times New Roman"/>
          <w:color w:val="auto"/>
          <w:highlight w:val="none"/>
        </w:rPr>
        <w:t>（3）有效的企业法人营业执照、资质证书、企业安全生产许可证；</w:t>
      </w:r>
    </w:p>
    <w:p>
      <w:pPr>
        <w:snapToGrid w:val="0"/>
        <w:spacing w:line="360" w:lineRule="auto"/>
        <w:rPr>
          <w:rStyle w:val="32"/>
          <w:rFonts w:cs="Times New Roman"/>
          <w:color w:val="auto"/>
          <w:sz w:val="20"/>
          <w:highlight w:val="none"/>
        </w:rPr>
      </w:pPr>
      <w:r>
        <w:rPr>
          <w:rStyle w:val="32"/>
          <w:rFonts w:cs="Times New Roman"/>
          <w:color w:val="auto"/>
          <w:highlight w:val="none"/>
        </w:rPr>
        <w:t>（4）投标企业注册所在地人民银行核发的基本帐户开户许可证或基本账户信息；</w:t>
      </w:r>
    </w:p>
    <w:p>
      <w:pPr>
        <w:snapToGrid w:val="0"/>
        <w:spacing w:line="360" w:lineRule="auto"/>
        <w:rPr>
          <w:rStyle w:val="32"/>
          <w:rFonts w:cs="Times New Roman"/>
          <w:color w:val="auto"/>
          <w:sz w:val="20"/>
          <w:highlight w:val="none"/>
        </w:rPr>
      </w:pPr>
      <w:r>
        <w:rPr>
          <w:rStyle w:val="32"/>
          <w:rFonts w:cs="Times New Roman"/>
          <w:color w:val="auto"/>
          <w:highlight w:val="none"/>
        </w:rPr>
        <w:t>（5）拟派项目负责人注册建造师证书、项目经理安全B证</w:t>
      </w:r>
    </w:p>
    <w:p>
      <w:pPr>
        <w:snapToGrid w:val="0"/>
        <w:spacing w:line="360" w:lineRule="auto"/>
        <w:rPr>
          <w:rStyle w:val="32"/>
          <w:rFonts w:cs="Times New Roman"/>
          <w:color w:val="auto"/>
          <w:highlight w:val="none"/>
        </w:rPr>
      </w:pPr>
      <w:r>
        <w:rPr>
          <w:rStyle w:val="32"/>
          <w:rFonts w:cs="Times New Roman"/>
          <w:color w:val="auto"/>
          <w:highlight w:val="none"/>
        </w:rPr>
        <w:t>（6）《无重大违法记录声明函》（格式详见第七章）</w:t>
      </w:r>
    </w:p>
    <w:p>
      <w:pPr>
        <w:snapToGrid w:val="0"/>
        <w:spacing w:line="360" w:lineRule="auto"/>
        <w:rPr>
          <w:rStyle w:val="32"/>
          <w:rFonts w:cs="Times New Roman"/>
          <w:color w:val="auto"/>
          <w:highlight w:val="none"/>
        </w:rPr>
      </w:pPr>
      <w:r>
        <w:rPr>
          <w:rStyle w:val="32"/>
          <w:rFonts w:cs="Times New Roman"/>
          <w:color w:val="auto"/>
          <w:highlight w:val="none"/>
        </w:rPr>
        <w:t>（7）关于资格文件的声明函。（格式详见第七章）</w:t>
      </w:r>
    </w:p>
    <w:p>
      <w:pPr>
        <w:snapToGrid w:val="0"/>
        <w:spacing w:line="360" w:lineRule="auto"/>
        <w:rPr>
          <w:rStyle w:val="32"/>
          <w:rFonts w:cs="Times New Roman"/>
          <w:color w:val="auto"/>
          <w:highlight w:val="none"/>
        </w:rPr>
      </w:pPr>
      <w:r>
        <w:rPr>
          <w:rStyle w:val="32"/>
          <w:rFonts w:cs="Times New Roman"/>
          <w:color w:val="auto"/>
          <w:highlight w:val="none"/>
        </w:rPr>
        <w:t>（8）承诺书。（格式详见第七章）</w:t>
      </w:r>
    </w:p>
    <w:p>
      <w:pPr>
        <w:snapToGrid w:val="0"/>
        <w:spacing w:line="360" w:lineRule="auto"/>
        <w:rPr>
          <w:rStyle w:val="32"/>
          <w:rFonts w:cs="Times New Roman"/>
          <w:color w:val="auto"/>
          <w:highlight w:val="none"/>
        </w:rPr>
      </w:pPr>
      <w:r>
        <w:rPr>
          <w:rStyle w:val="32"/>
          <w:rFonts w:cs="Times New Roman"/>
          <w:color w:val="auto"/>
          <w:highlight w:val="none"/>
        </w:rPr>
        <w:t>（9）报价的承诺书</w:t>
      </w:r>
    </w:p>
    <w:p>
      <w:pPr>
        <w:snapToGrid w:val="0"/>
        <w:spacing w:line="360" w:lineRule="auto"/>
        <w:rPr>
          <w:rStyle w:val="32"/>
          <w:rFonts w:cs="Times New Roman"/>
          <w:color w:val="auto"/>
          <w:sz w:val="20"/>
          <w:highlight w:val="none"/>
        </w:rPr>
      </w:pPr>
      <w:r>
        <w:rPr>
          <w:rStyle w:val="32"/>
          <w:rFonts w:cs="Times New Roman"/>
          <w:color w:val="auto"/>
          <w:highlight w:val="none"/>
        </w:rPr>
        <w:t>（10）评标办法中资格审查要求中所提所需资料。</w:t>
      </w:r>
    </w:p>
    <w:p>
      <w:pPr>
        <w:snapToGrid w:val="0"/>
        <w:spacing w:line="360" w:lineRule="auto"/>
        <w:rPr>
          <w:rStyle w:val="32"/>
          <w:rFonts w:cs="Times New Roman"/>
          <w:b/>
          <w:color w:val="auto"/>
          <w:sz w:val="20"/>
          <w:highlight w:val="none"/>
        </w:rPr>
      </w:pPr>
    </w:p>
    <w:p>
      <w:pPr>
        <w:snapToGrid w:val="0"/>
        <w:spacing w:line="360" w:lineRule="auto"/>
        <w:jc w:val="center"/>
        <w:rPr>
          <w:rStyle w:val="32"/>
          <w:rFonts w:cs="Times New Roman"/>
          <w:bCs/>
          <w:color w:val="auto"/>
          <w:sz w:val="30"/>
          <w:szCs w:val="20"/>
          <w:highlight w:val="none"/>
        </w:rPr>
      </w:pPr>
    </w:p>
    <w:p>
      <w:pPr>
        <w:snapToGrid w:val="0"/>
        <w:spacing w:line="360" w:lineRule="auto"/>
        <w:jc w:val="center"/>
        <w:rPr>
          <w:rStyle w:val="32"/>
          <w:rFonts w:cs="Times New Roman"/>
          <w:bCs/>
          <w:color w:val="auto"/>
          <w:sz w:val="30"/>
          <w:szCs w:val="20"/>
          <w:highlight w:val="none"/>
        </w:rPr>
      </w:pPr>
    </w:p>
    <w:p>
      <w:pPr>
        <w:snapToGrid w:val="0"/>
        <w:spacing w:line="360" w:lineRule="auto"/>
        <w:jc w:val="center"/>
        <w:rPr>
          <w:rStyle w:val="32"/>
          <w:rFonts w:cs="Times New Roman"/>
          <w:bCs/>
          <w:color w:val="auto"/>
          <w:sz w:val="30"/>
          <w:szCs w:val="20"/>
          <w:highlight w:val="none"/>
        </w:rPr>
      </w:pPr>
    </w:p>
    <w:p>
      <w:pPr>
        <w:snapToGrid w:val="0"/>
        <w:spacing w:line="360" w:lineRule="auto"/>
        <w:jc w:val="center"/>
        <w:rPr>
          <w:rStyle w:val="32"/>
          <w:rFonts w:cs="Times New Roman"/>
          <w:bCs/>
          <w:color w:val="auto"/>
          <w:sz w:val="30"/>
          <w:szCs w:val="20"/>
          <w:highlight w:val="none"/>
        </w:rPr>
      </w:pPr>
    </w:p>
    <w:p>
      <w:pPr>
        <w:snapToGrid w:val="0"/>
        <w:spacing w:line="360" w:lineRule="auto"/>
        <w:jc w:val="center"/>
        <w:rPr>
          <w:rStyle w:val="32"/>
          <w:rFonts w:cs="Times New Roman"/>
          <w:bCs/>
          <w:color w:val="auto"/>
          <w:sz w:val="30"/>
          <w:szCs w:val="20"/>
          <w:highlight w:val="none"/>
        </w:rPr>
      </w:pPr>
    </w:p>
    <w:p>
      <w:pPr>
        <w:snapToGrid w:val="0"/>
        <w:spacing w:line="360" w:lineRule="auto"/>
        <w:jc w:val="center"/>
        <w:rPr>
          <w:rStyle w:val="32"/>
          <w:rFonts w:cs="Times New Roman"/>
          <w:bCs/>
          <w:color w:val="auto"/>
          <w:sz w:val="30"/>
          <w:szCs w:val="20"/>
          <w:highlight w:val="none"/>
        </w:rPr>
      </w:pPr>
    </w:p>
    <w:p>
      <w:pPr>
        <w:snapToGrid w:val="0"/>
        <w:spacing w:line="360" w:lineRule="auto"/>
        <w:jc w:val="center"/>
        <w:rPr>
          <w:rStyle w:val="32"/>
          <w:rFonts w:cs="Times New Roman"/>
          <w:bCs/>
          <w:color w:val="auto"/>
          <w:sz w:val="30"/>
          <w:szCs w:val="20"/>
          <w:highlight w:val="none"/>
        </w:rPr>
      </w:pPr>
    </w:p>
    <w:p>
      <w:pPr>
        <w:snapToGrid w:val="0"/>
        <w:spacing w:line="360" w:lineRule="auto"/>
        <w:jc w:val="center"/>
        <w:rPr>
          <w:rStyle w:val="32"/>
          <w:rFonts w:cs="Times New Roman"/>
          <w:bCs/>
          <w:color w:val="auto"/>
          <w:sz w:val="30"/>
          <w:szCs w:val="20"/>
          <w:highlight w:val="none"/>
        </w:rPr>
      </w:pPr>
    </w:p>
    <w:p>
      <w:pPr>
        <w:snapToGrid w:val="0"/>
        <w:spacing w:line="360" w:lineRule="auto"/>
        <w:jc w:val="center"/>
        <w:rPr>
          <w:rStyle w:val="32"/>
          <w:rFonts w:cs="Times New Roman"/>
          <w:bCs/>
          <w:color w:val="auto"/>
          <w:sz w:val="30"/>
          <w:szCs w:val="20"/>
          <w:highlight w:val="none"/>
        </w:rPr>
      </w:pPr>
    </w:p>
    <w:p>
      <w:pPr>
        <w:snapToGrid w:val="0"/>
        <w:spacing w:line="360" w:lineRule="auto"/>
        <w:jc w:val="center"/>
        <w:rPr>
          <w:rStyle w:val="32"/>
          <w:rFonts w:cs="Times New Roman"/>
          <w:bCs/>
          <w:color w:val="auto"/>
          <w:sz w:val="30"/>
          <w:szCs w:val="20"/>
          <w:highlight w:val="none"/>
        </w:rPr>
      </w:pPr>
    </w:p>
    <w:p>
      <w:pPr>
        <w:snapToGrid w:val="0"/>
        <w:spacing w:line="360" w:lineRule="auto"/>
        <w:jc w:val="center"/>
        <w:rPr>
          <w:rStyle w:val="32"/>
          <w:rFonts w:cs="Times New Roman"/>
          <w:bCs/>
          <w:color w:val="auto"/>
          <w:sz w:val="30"/>
          <w:szCs w:val="20"/>
          <w:highlight w:val="none"/>
        </w:rPr>
      </w:pPr>
    </w:p>
    <w:p>
      <w:pPr>
        <w:snapToGrid w:val="0"/>
        <w:spacing w:line="360" w:lineRule="auto"/>
        <w:jc w:val="center"/>
        <w:rPr>
          <w:rStyle w:val="32"/>
          <w:rFonts w:cs="Times New Roman"/>
          <w:bCs/>
          <w:color w:val="auto"/>
          <w:sz w:val="30"/>
          <w:szCs w:val="20"/>
          <w:highlight w:val="none"/>
        </w:rPr>
      </w:pPr>
    </w:p>
    <w:p>
      <w:pPr>
        <w:snapToGrid w:val="0"/>
        <w:spacing w:line="360" w:lineRule="auto"/>
        <w:jc w:val="center"/>
        <w:rPr>
          <w:rStyle w:val="32"/>
          <w:rFonts w:cs="Times New Roman"/>
          <w:bCs/>
          <w:color w:val="auto"/>
          <w:sz w:val="30"/>
          <w:szCs w:val="20"/>
          <w:highlight w:val="none"/>
        </w:rPr>
      </w:pPr>
    </w:p>
    <w:p>
      <w:pPr>
        <w:snapToGrid w:val="0"/>
        <w:spacing w:line="360" w:lineRule="auto"/>
        <w:jc w:val="center"/>
        <w:rPr>
          <w:rStyle w:val="32"/>
          <w:rFonts w:cs="Times New Roman"/>
          <w:bCs/>
          <w:color w:val="auto"/>
          <w:sz w:val="30"/>
          <w:szCs w:val="20"/>
          <w:highlight w:val="none"/>
        </w:rPr>
      </w:pPr>
    </w:p>
    <w:p>
      <w:pPr>
        <w:snapToGrid w:val="0"/>
        <w:spacing w:line="360" w:lineRule="auto"/>
        <w:jc w:val="center"/>
        <w:rPr>
          <w:rStyle w:val="32"/>
          <w:rFonts w:cs="Times New Roman"/>
          <w:bCs/>
          <w:color w:val="auto"/>
          <w:sz w:val="30"/>
          <w:szCs w:val="20"/>
          <w:highlight w:val="none"/>
        </w:rPr>
      </w:pPr>
    </w:p>
    <w:p>
      <w:pPr>
        <w:snapToGrid w:val="0"/>
        <w:spacing w:line="360" w:lineRule="auto"/>
        <w:jc w:val="center"/>
        <w:rPr>
          <w:rStyle w:val="32"/>
          <w:rFonts w:cs="Times New Roman"/>
          <w:bCs/>
          <w:color w:val="auto"/>
          <w:sz w:val="30"/>
          <w:szCs w:val="20"/>
          <w:highlight w:val="none"/>
        </w:rPr>
      </w:pPr>
    </w:p>
    <w:p>
      <w:pPr>
        <w:snapToGrid w:val="0"/>
        <w:spacing w:line="360" w:lineRule="auto"/>
        <w:jc w:val="center"/>
        <w:rPr>
          <w:rStyle w:val="32"/>
          <w:rFonts w:cs="Times New Roman"/>
          <w:bCs/>
          <w:color w:val="auto"/>
          <w:sz w:val="30"/>
          <w:szCs w:val="20"/>
          <w:highlight w:val="none"/>
        </w:rPr>
      </w:pPr>
      <w:r>
        <w:rPr>
          <w:rStyle w:val="32"/>
          <w:rFonts w:cs="Times New Roman"/>
          <w:bCs/>
          <w:color w:val="auto"/>
          <w:sz w:val="30"/>
          <w:szCs w:val="20"/>
          <w:highlight w:val="none"/>
        </w:rPr>
        <w:t>一、法定代表人身份证明书</w:t>
      </w:r>
    </w:p>
    <w:p>
      <w:pPr>
        <w:snapToGrid w:val="0"/>
        <w:spacing w:line="360" w:lineRule="auto"/>
        <w:jc w:val="center"/>
        <w:rPr>
          <w:rStyle w:val="32"/>
          <w:rFonts w:cs="Times New Roman"/>
          <w:b/>
          <w:color w:val="auto"/>
          <w:sz w:val="30"/>
          <w:szCs w:val="20"/>
          <w:highlight w:val="none"/>
        </w:rPr>
      </w:pPr>
    </w:p>
    <w:p>
      <w:pPr>
        <w:snapToGrid w:val="0"/>
        <w:spacing w:line="360" w:lineRule="auto"/>
        <w:ind w:firstLine="502" w:firstLineChars="200"/>
        <w:rPr>
          <w:rStyle w:val="32"/>
          <w:rFonts w:cs="Times New Roman"/>
          <w:b/>
          <w:color w:val="auto"/>
          <w:sz w:val="25"/>
          <w:szCs w:val="20"/>
          <w:highlight w:val="none"/>
        </w:rPr>
      </w:pPr>
      <w:r>
        <w:rPr>
          <w:rStyle w:val="32"/>
          <w:rFonts w:cs="Times New Roman"/>
          <w:b/>
          <w:color w:val="auto"/>
          <w:sz w:val="25"/>
          <w:szCs w:val="20"/>
          <w:highlight w:val="none"/>
        </w:rPr>
        <w:t>投标人单位名称：</w:t>
      </w:r>
      <w:r>
        <w:rPr>
          <w:rStyle w:val="32"/>
          <w:rFonts w:cs="Times New Roman"/>
          <w:b/>
          <w:color w:val="auto"/>
          <w:sz w:val="25"/>
          <w:szCs w:val="20"/>
          <w:highlight w:val="none"/>
          <w:u w:val="single" w:color="000000"/>
        </w:rPr>
        <w:t xml:space="preserve">                                 </w:t>
      </w:r>
    </w:p>
    <w:p>
      <w:pPr>
        <w:snapToGrid w:val="0"/>
        <w:spacing w:line="360" w:lineRule="auto"/>
        <w:ind w:firstLine="502" w:firstLineChars="200"/>
        <w:rPr>
          <w:rStyle w:val="32"/>
          <w:rFonts w:cs="Times New Roman"/>
          <w:b/>
          <w:color w:val="auto"/>
          <w:sz w:val="25"/>
          <w:szCs w:val="20"/>
          <w:highlight w:val="none"/>
        </w:rPr>
      </w:pPr>
      <w:r>
        <w:rPr>
          <w:rStyle w:val="32"/>
          <w:rFonts w:cs="Times New Roman"/>
          <w:b/>
          <w:color w:val="auto"/>
          <w:sz w:val="25"/>
          <w:szCs w:val="20"/>
          <w:highlight w:val="none"/>
        </w:rPr>
        <w:t>投标人单位地址：</w:t>
      </w:r>
      <w:r>
        <w:rPr>
          <w:rStyle w:val="32"/>
          <w:rFonts w:cs="Times New Roman"/>
          <w:b/>
          <w:color w:val="auto"/>
          <w:sz w:val="25"/>
          <w:szCs w:val="20"/>
          <w:highlight w:val="none"/>
          <w:u w:val="single" w:color="000000"/>
        </w:rPr>
        <w:t xml:space="preserve">                                 </w:t>
      </w:r>
    </w:p>
    <w:p>
      <w:pPr>
        <w:snapToGrid w:val="0"/>
        <w:spacing w:line="360" w:lineRule="auto"/>
        <w:ind w:firstLine="502" w:firstLineChars="200"/>
        <w:rPr>
          <w:rStyle w:val="32"/>
          <w:rFonts w:cs="Times New Roman"/>
          <w:b/>
          <w:color w:val="auto"/>
          <w:sz w:val="25"/>
          <w:szCs w:val="20"/>
          <w:highlight w:val="none"/>
          <w:u w:val="single"/>
        </w:rPr>
      </w:pPr>
      <w:r>
        <w:rPr>
          <w:rStyle w:val="32"/>
          <w:rFonts w:cs="Times New Roman"/>
          <w:b/>
          <w:color w:val="auto"/>
          <w:sz w:val="25"/>
          <w:szCs w:val="20"/>
          <w:highlight w:val="none"/>
        </w:rPr>
        <w:t>姓    名：</w:t>
      </w:r>
      <w:r>
        <w:rPr>
          <w:rStyle w:val="32"/>
          <w:rFonts w:cs="Times New Roman"/>
          <w:b/>
          <w:color w:val="auto"/>
          <w:sz w:val="25"/>
          <w:szCs w:val="20"/>
          <w:highlight w:val="none"/>
          <w:u w:val="single" w:color="000000"/>
        </w:rPr>
        <w:t xml:space="preserve">             </w:t>
      </w:r>
      <w:r>
        <w:rPr>
          <w:rStyle w:val="32"/>
          <w:rFonts w:cs="Times New Roman"/>
          <w:b/>
          <w:color w:val="auto"/>
          <w:sz w:val="25"/>
          <w:szCs w:val="20"/>
          <w:highlight w:val="none"/>
        </w:rPr>
        <w:t>性别：</w:t>
      </w:r>
      <w:r>
        <w:rPr>
          <w:rStyle w:val="32"/>
          <w:rFonts w:cs="Times New Roman"/>
          <w:b/>
          <w:color w:val="auto"/>
          <w:sz w:val="25"/>
          <w:szCs w:val="20"/>
          <w:highlight w:val="none"/>
          <w:u w:val="single" w:color="000000"/>
        </w:rPr>
        <w:t xml:space="preserve">          </w:t>
      </w:r>
    </w:p>
    <w:p>
      <w:pPr>
        <w:snapToGrid w:val="0"/>
        <w:spacing w:line="360" w:lineRule="auto"/>
        <w:ind w:firstLine="502" w:firstLineChars="200"/>
        <w:rPr>
          <w:rStyle w:val="32"/>
          <w:rFonts w:cs="Times New Roman"/>
          <w:b/>
          <w:color w:val="auto"/>
          <w:sz w:val="25"/>
          <w:szCs w:val="20"/>
          <w:highlight w:val="none"/>
          <w:u w:val="single"/>
        </w:rPr>
      </w:pPr>
      <w:r>
        <w:rPr>
          <w:rStyle w:val="32"/>
          <w:rFonts w:cs="Times New Roman"/>
          <w:b/>
          <w:color w:val="auto"/>
          <w:sz w:val="25"/>
          <w:szCs w:val="20"/>
          <w:highlight w:val="none"/>
        </w:rPr>
        <w:t>年龄：</w:t>
      </w:r>
      <w:r>
        <w:rPr>
          <w:rStyle w:val="32"/>
          <w:rFonts w:cs="Times New Roman"/>
          <w:b/>
          <w:color w:val="auto"/>
          <w:sz w:val="25"/>
          <w:szCs w:val="20"/>
          <w:highlight w:val="none"/>
          <w:u w:val="single" w:color="000000"/>
        </w:rPr>
        <w:t xml:space="preserve">                 </w:t>
      </w:r>
      <w:r>
        <w:rPr>
          <w:rStyle w:val="32"/>
          <w:rFonts w:cs="Times New Roman"/>
          <w:b/>
          <w:color w:val="auto"/>
          <w:sz w:val="25"/>
          <w:szCs w:val="20"/>
          <w:highlight w:val="none"/>
        </w:rPr>
        <w:t>职务：</w:t>
      </w:r>
      <w:r>
        <w:rPr>
          <w:rStyle w:val="32"/>
          <w:rFonts w:cs="Times New Roman"/>
          <w:b/>
          <w:color w:val="auto"/>
          <w:sz w:val="25"/>
          <w:szCs w:val="20"/>
          <w:highlight w:val="none"/>
          <w:u w:val="single" w:color="000000"/>
        </w:rPr>
        <w:t xml:space="preserve">               </w:t>
      </w:r>
    </w:p>
    <w:p>
      <w:pPr>
        <w:snapToGrid w:val="0"/>
        <w:spacing w:line="360" w:lineRule="auto"/>
        <w:ind w:firstLine="502" w:firstLineChars="200"/>
        <w:rPr>
          <w:rStyle w:val="32"/>
          <w:rFonts w:cs="Times New Roman"/>
          <w:b/>
          <w:color w:val="auto"/>
          <w:sz w:val="25"/>
          <w:szCs w:val="20"/>
          <w:highlight w:val="none"/>
        </w:rPr>
      </w:pPr>
      <w:r>
        <w:rPr>
          <w:rStyle w:val="32"/>
          <w:rFonts w:cs="Times New Roman"/>
          <w:b/>
          <w:color w:val="auto"/>
          <w:sz w:val="25"/>
          <w:szCs w:val="20"/>
          <w:highlight w:val="none"/>
        </w:rPr>
        <w:t>系：</w:t>
      </w:r>
      <w:r>
        <w:rPr>
          <w:rStyle w:val="32"/>
          <w:rFonts w:cs="Times New Roman"/>
          <w:b/>
          <w:color w:val="auto"/>
          <w:sz w:val="25"/>
          <w:szCs w:val="20"/>
          <w:highlight w:val="none"/>
          <w:u w:val="single" w:color="000000"/>
        </w:rPr>
        <w:t xml:space="preserve">                      </w:t>
      </w:r>
      <w:r>
        <w:rPr>
          <w:rStyle w:val="32"/>
          <w:rFonts w:cs="Times New Roman"/>
          <w:b/>
          <w:color w:val="auto"/>
          <w:sz w:val="25"/>
          <w:szCs w:val="20"/>
          <w:highlight w:val="none"/>
        </w:rPr>
        <w:t>(投标人单位名称) 的法定代表人。</w:t>
      </w:r>
    </w:p>
    <w:p>
      <w:pPr>
        <w:snapToGrid w:val="0"/>
        <w:spacing w:line="360" w:lineRule="auto"/>
        <w:ind w:firstLine="502" w:firstLineChars="200"/>
        <w:rPr>
          <w:rStyle w:val="32"/>
          <w:rFonts w:cs="Times New Roman"/>
          <w:b/>
          <w:color w:val="auto"/>
          <w:sz w:val="25"/>
          <w:szCs w:val="20"/>
          <w:highlight w:val="none"/>
        </w:rPr>
      </w:pPr>
    </w:p>
    <w:p>
      <w:pPr>
        <w:snapToGrid w:val="0"/>
        <w:spacing w:line="360" w:lineRule="auto"/>
        <w:ind w:firstLine="502" w:firstLineChars="200"/>
        <w:rPr>
          <w:rStyle w:val="32"/>
          <w:rFonts w:cs="Times New Roman"/>
          <w:b/>
          <w:color w:val="auto"/>
          <w:sz w:val="25"/>
          <w:szCs w:val="20"/>
          <w:highlight w:val="none"/>
        </w:rPr>
      </w:pPr>
      <w:r>
        <w:rPr>
          <w:rStyle w:val="32"/>
          <w:rFonts w:cs="Times New Roman"/>
          <w:b/>
          <w:color w:val="auto"/>
          <w:sz w:val="25"/>
          <w:szCs w:val="20"/>
          <w:highlight w:val="none"/>
        </w:rPr>
        <w:t>特此证明</w:t>
      </w:r>
    </w:p>
    <w:p>
      <w:pPr>
        <w:snapToGrid w:val="0"/>
        <w:spacing w:line="360" w:lineRule="auto"/>
        <w:ind w:firstLine="502" w:firstLineChars="200"/>
        <w:rPr>
          <w:rStyle w:val="32"/>
          <w:rFonts w:cs="Times New Roman"/>
          <w:b/>
          <w:color w:val="auto"/>
          <w:sz w:val="25"/>
          <w:szCs w:val="20"/>
          <w:highlight w:val="none"/>
        </w:rPr>
      </w:pPr>
    </w:p>
    <w:p>
      <w:pPr>
        <w:snapToGrid w:val="0"/>
        <w:spacing w:line="360" w:lineRule="auto"/>
        <w:ind w:firstLine="4016" w:firstLineChars="1600"/>
        <w:rPr>
          <w:rStyle w:val="32"/>
          <w:rFonts w:cs="Times New Roman"/>
          <w:b/>
          <w:color w:val="auto"/>
          <w:sz w:val="25"/>
          <w:szCs w:val="20"/>
          <w:highlight w:val="none"/>
        </w:rPr>
      </w:pPr>
      <w:r>
        <w:rPr>
          <w:rStyle w:val="32"/>
          <w:rFonts w:cs="Times New Roman"/>
          <w:b/>
          <w:color w:val="auto"/>
          <w:sz w:val="25"/>
          <w:szCs w:val="20"/>
          <w:highlight w:val="none"/>
        </w:rPr>
        <w:t>投标人：</w:t>
      </w:r>
      <w:r>
        <w:rPr>
          <w:rStyle w:val="32"/>
          <w:rFonts w:cs="Times New Roman"/>
          <w:b/>
          <w:color w:val="auto"/>
          <w:sz w:val="25"/>
          <w:szCs w:val="20"/>
          <w:highlight w:val="none"/>
          <w:u w:val="single" w:color="000000"/>
        </w:rPr>
        <w:t xml:space="preserve">                   </w:t>
      </w:r>
      <w:r>
        <w:rPr>
          <w:rStyle w:val="32"/>
          <w:rFonts w:cs="Times New Roman"/>
          <w:b/>
          <w:color w:val="auto"/>
          <w:sz w:val="25"/>
          <w:szCs w:val="20"/>
          <w:highlight w:val="none"/>
        </w:rPr>
        <w:t>(盖单位章)</w:t>
      </w:r>
    </w:p>
    <w:p>
      <w:pPr>
        <w:snapToGrid w:val="0"/>
        <w:spacing w:line="360" w:lineRule="auto"/>
        <w:ind w:firstLine="4016" w:firstLineChars="1600"/>
        <w:rPr>
          <w:rStyle w:val="32"/>
          <w:rFonts w:cs="Times New Roman"/>
          <w:b/>
          <w:color w:val="auto"/>
          <w:sz w:val="25"/>
          <w:szCs w:val="20"/>
          <w:highlight w:val="none"/>
        </w:rPr>
      </w:pPr>
    </w:p>
    <w:p>
      <w:pPr>
        <w:snapToGrid w:val="0"/>
        <w:spacing w:line="360" w:lineRule="auto"/>
        <w:ind w:firstLine="4016" w:firstLineChars="1600"/>
        <w:rPr>
          <w:rStyle w:val="32"/>
          <w:rFonts w:cs="Times New Roman"/>
          <w:b/>
          <w:color w:val="auto"/>
          <w:sz w:val="25"/>
          <w:szCs w:val="20"/>
          <w:highlight w:val="none"/>
        </w:rPr>
      </w:pPr>
      <w:r>
        <w:rPr>
          <w:rStyle w:val="32"/>
          <w:rFonts w:cs="Times New Roman"/>
          <w:b/>
          <w:color w:val="auto"/>
          <w:sz w:val="25"/>
          <w:szCs w:val="20"/>
          <w:highlight w:val="none"/>
        </w:rPr>
        <w:t>日   期：</w:t>
      </w:r>
      <w:r>
        <w:rPr>
          <w:rStyle w:val="32"/>
          <w:rFonts w:cs="Times New Roman"/>
          <w:b/>
          <w:color w:val="auto"/>
          <w:sz w:val="25"/>
          <w:szCs w:val="20"/>
          <w:highlight w:val="none"/>
          <w:u w:val="single" w:color="000000"/>
        </w:rPr>
        <w:t xml:space="preserve">                           </w:t>
      </w:r>
      <w:r>
        <w:rPr>
          <w:rStyle w:val="32"/>
          <w:rFonts w:cs="Times New Roman"/>
          <w:b/>
          <w:color w:val="auto"/>
          <w:sz w:val="25"/>
          <w:szCs w:val="20"/>
          <w:highlight w:val="none"/>
        </w:rPr>
        <w:t xml:space="preserve"> </w:t>
      </w:r>
    </w:p>
    <w:p>
      <w:pPr>
        <w:snapToGrid w:val="0"/>
        <w:spacing w:line="360" w:lineRule="auto"/>
        <w:rPr>
          <w:rStyle w:val="32"/>
          <w:rFonts w:cs="Times New Roman"/>
          <w:b/>
          <w:color w:val="auto"/>
          <w:sz w:val="25"/>
          <w:szCs w:val="20"/>
          <w:highlight w:val="none"/>
        </w:rPr>
      </w:pPr>
    </w:p>
    <w:p>
      <w:pPr>
        <w:snapToGrid w:val="0"/>
        <w:spacing w:line="360" w:lineRule="auto"/>
        <w:jc w:val="center"/>
        <w:rPr>
          <w:rStyle w:val="32"/>
          <w:rFonts w:cs="Times New Roman"/>
          <w:b/>
          <w:color w:val="auto"/>
          <w:sz w:val="25"/>
          <w:szCs w:val="20"/>
          <w:highlight w:val="none"/>
        </w:rPr>
      </w:pPr>
    </w:p>
    <w:p>
      <w:pPr>
        <w:snapToGrid w:val="0"/>
        <w:spacing w:line="360" w:lineRule="auto"/>
        <w:jc w:val="center"/>
        <w:rPr>
          <w:rStyle w:val="32"/>
          <w:rFonts w:cs="Times New Roman"/>
          <w:b/>
          <w:color w:val="auto"/>
          <w:sz w:val="25"/>
          <w:szCs w:val="20"/>
          <w:highlight w:val="none"/>
        </w:rPr>
      </w:pPr>
    </w:p>
    <w:p>
      <w:pPr>
        <w:snapToGrid w:val="0"/>
        <w:spacing w:line="360" w:lineRule="auto"/>
        <w:jc w:val="center"/>
        <w:rPr>
          <w:rStyle w:val="32"/>
          <w:rFonts w:cs="Times New Roman"/>
          <w:b/>
          <w:color w:val="auto"/>
          <w:sz w:val="25"/>
          <w:szCs w:val="20"/>
          <w:highlight w:val="none"/>
        </w:rPr>
      </w:pPr>
    </w:p>
    <w:p>
      <w:pPr>
        <w:snapToGrid w:val="0"/>
        <w:spacing w:line="360" w:lineRule="auto"/>
        <w:jc w:val="center"/>
        <w:rPr>
          <w:rStyle w:val="32"/>
          <w:rFonts w:cs="Times New Roman"/>
          <w:b/>
          <w:color w:val="auto"/>
          <w:sz w:val="25"/>
          <w:szCs w:val="20"/>
          <w:highlight w:val="none"/>
        </w:rPr>
      </w:pPr>
    </w:p>
    <w:p>
      <w:pPr>
        <w:snapToGrid w:val="0"/>
        <w:spacing w:line="360" w:lineRule="auto"/>
        <w:jc w:val="center"/>
        <w:rPr>
          <w:rStyle w:val="32"/>
          <w:rFonts w:cs="Times New Roman"/>
          <w:b/>
          <w:color w:val="auto"/>
          <w:sz w:val="25"/>
          <w:szCs w:val="20"/>
          <w:highlight w:val="none"/>
        </w:rPr>
      </w:pPr>
    </w:p>
    <w:p>
      <w:pPr>
        <w:snapToGrid w:val="0"/>
        <w:spacing w:line="360" w:lineRule="auto"/>
        <w:jc w:val="center"/>
        <w:rPr>
          <w:rStyle w:val="32"/>
          <w:rFonts w:cs="Times New Roman"/>
          <w:b/>
          <w:color w:val="auto"/>
          <w:sz w:val="25"/>
          <w:szCs w:val="20"/>
          <w:highlight w:val="none"/>
        </w:rPr>
      </w:pPr>
    </w:p>
    <w:p>
      <w:pPr>
        <w:snapToGrid w:val="0"/>
        <w:spacing w:line="360" w:lineRule="auto"/>
        <w:jc w:val="center"/>
        <w:rPr>
          <w:rStyle w:val="32"/>
          <w:rFonts w:cs="Times New Roman"/>
          <w:b/>
          <w:color w:val="auto"/>
          <w:sz w:val="25"/>
          <w:szCs w:val="20"/>
          <w:highlight w:val="none"/>
        </w:rPr>
      </w:pPr>
    </w:p>
    <w:p>
      <w:pPr>
        <w:snapToGrid w:val="0"/>
        <w:spacing w:line="360" w:lineRule="auto"/>
        <w:jc w:val="center"/>
        <w:rPr>
          <w:rStyle w:val="32"/>
          <w:rFonts w:cs="Times New Roman"/>
          <w:b/>
          <w:color w:val="auto"/>
          <w:sz w:val="25"/>
          <w:szCs w:val="20"/>
          <w:highlight w:val="none"/>
        </w:rPr>
      </w:pPr>
    </w:p>
    <w:p>
      <w:pPr>
        <w:snapToGrid w:val="0"/>
        <w:spacing w:line="360" w:lineRule="auto"/>
        <w:jc w:val="center"/>
        <w:rPr>
          <w:rStyle w:val="32"/>
          <w:rFonts w:cs="Times New Roman"/>
          <w:b/>
          <w:color w:val="auto"/>
          <w:sz w:val="25"/>
          <w:szCs w:val="20"/>
          <w:highlight w:val="none"/>
        </w:rPr>
      </w:pPr>
    </w:p>
    <w:p>
      <w:pPr>
        <w:snapToGrid w:val="0"/>
        <w:spacing w:line="360" w:lineRule="auto"/>
        <w:jc w:val="center"/>
        <w:rPr>
          <w:rStyle w:val="32"/>
          <w:rFonts w:cs="Times New Roman"/>
          <w:b/>
          <w:color w:val="auto"/>
          <w:sz w:val="25"/>
          <w:szCs w:val="20"/>
          <w:highlight w:val="none"/>
        </w:rPr>
      </w:pPr>
    </w:p>
    <w:p>
      <w:pPr>
        <w:snapToGrid w:val="0"/>
        <w:spacing w:line="360" w:lineRule="auto"/>
        <w:jc w:val="center"/>
        <w:rPr>
          <w:rStyle w:val="32"/>
          <w:rFonts w:cs="Times New Roman"/>
          <w:b/>
          <w:color w:val="auto"/>
          <w:sz w:val="25"/>
          <w:szCs w:val="20"/>
          <w:highlight w:val="none"/>
        </w:rPr>
      </w:pPr>
    </w:p>
    <w:p>
      <w:pPr>
        <w:snapToGrid w:val="0"/>
        <w:spacing w:line="360" w:lineRule="auto"/>
        <w:jc w:val="center"/>
        <w:rPr>
          <w:rStyle w:val="32"/>
          <w:rFonts w:cs="Times New Roman"/>
          <w:b/>
          <w:color w:val="auto"/>
          <w:sz w:val="25"/>
          <w:szCs w:val="20"/>
          <w:highlight w:val="none"/>
        </w:rPr>
      </w:pPr>
    </w:p>
    <w:p>
      <w:pPr>
        <w:snapToGrid w:val="0"/>
        <w:spacing w:line="360" w:lineRule="auto"/>
        <w:jc w:val="center"/>
        <w:rPr>
          <w:rStyle w:val="32"/>
          <w:rFonts w:cs="Times New Roman"/>
          <w:b/>
          <w:color w:val="auto"/>
          <w:sz w:val="25"/>
          <w:szCs w:val="20"/>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snapToGrid w:val="0"/>
        <w:spacing w:line="360" w:lineRule="auto"/>
        <w:jc w:val="center"/>
        <w:rPr>
          <w:rStyle w:val="32"/>
          <w:rFonts w:cs="Times New Roman"/>
          <w:b/>
          <w:color w:val="auto"/>
          <w:sz w:val="25"/>
          <w:szCs w:val="20"/>
          <w:highlight w:val="none"/>
        </w:rPr>
      </w:pPr>
    </w:p>
    <w:p>
      <w:pPr>
        <w:snapToGrid w:val="0"/>
        <w:spacing w:line="360" w:lineRule="auto"/>
        <w:jc w:val="center"/>
        <w:rPr>
          <w:rStyle w:val="32"/>
          <w:rFonts w:cs="Times New Roman"/>
          <w:bCs/>
          <w:color w:val="auto"/>
          <w:sz w:val="30"/>
          <w:szCs w:val="20"/>
          <w:highlight w:val="none"/>
        </w:rPr>
      </w:pPr>
      <w:r>
        <w:rPr>
          <w:rStyle w:val="32"/>
          <w:rFonts w:cs="Times New Roman"/>
          <w:bCs/>
          <w:color w:val="auto"/>
          <w:sz w:val="30"/>
          <w:szCs w:val="20"/>
          <w:highlight w:val="none"/>
        </w:rPr>
        <w:t>二、法定代表人授权委托书</w:t>
      </w:r>
    </w:p>
    <w:p>
      <w:pPr>
        <w:snapToGrid w:val="0"/>
        <w:spacing w:line="360" w:lineRule="auto"/>
        <w:ind w:firstLine="480"/>
        <w:rPr>
          <w:rStyle w:val="32"/>
          <w:rFonts w:cs="Times New Roman"/>
          <w:b/>
          <w:color w:val="auto"/>
          <w:sz w:val="25"/>
          <w:szCs w:val="20"/>
          <w:highlight w:val="none"/>
        </w:rPr>
      </w:pPr>
    </w:p>
    <w:p>
      <w:pPr>
        <w:snapToGrid w:val="0"/>
        <w:spacing w:line="360" w:lineRule="auto"/>
        <w:ind w:firstLine="502" w:firstLineChars="200"/>
        <w:rPr>
          <w:rStyle w:val="32"/>
          <w:rFonts w:cs="Times New Roman"/>
          <w:b/>
          <w:color w:val="auto"/>
          <w:sz w:val="25"/>
          <w:szCs w:val="20"/>
          <w:highlight w:val="none"/>
        </w:rPr>
      </w:pPr>
      <w:r>
        <w:rPr>
          <w:rStyle w:val="32"/>
          <w:rFonts w:cs="Times New Roman"/>
          <w:b/>
          <w:color w:val="auto"/>
          <w:sz w:val="25"/>
          <w:szCs w:val="20"/>
          <w:highlight w:val="none"/>
        </w:rPr>
        <w:t>本人</w:t>
      </w:r>
      <w:r>
        <w:rPr>
          <w:rStyle w:val="32"/>
          <w:rFonts w:cs="Times New Roman"/>
          <w:b/>
          <w:color w:val="auto"/>
          <w:sz w:val="25"/>
          <w:szCs w:val="20"/>
          <w:highlight w:val="none"/>
          <w:u w:val="single" w:color="000000"/>
        </w:rPr>
        <w:t xml:space="preserve">       </w:t>
      </w:r>
      <w:r>
        <w:rPr>
          <w:rStyle w:val="32"/>
          <w:rFonts w:cs="Times New Roman"/>
          <w:b/>
          <w:color w:val="auto"/>
          <w:sz w:val="25"/>
          <w:szCs w:val="20"/>
          <w:highlight w:val="none"/>
        </w:rPr>
        <w:t>(姓名)系</w:t>
      </w:r>
      <w:r>
        <w:rPr>
          <w:rStyle w:val="32"/>
          <w:rFonts w:cs="Times New Roman"/>
          <w:b/>
          <w:color w:val="auto"/>
          <w:sz w:val="25"/>
          <w:szCs w:val="20"/>
          <w:highlight w:val="none"/>
          <w:u w:val="single" w:color="000000"/>
        </w:rPr>
        <w:t xml:space="preserve">                </w:t>
      </w:r>
      <w:r>
        <w:rPr>
          <w:rStyle w:val="32"/>
          <w:rFonts w:cs="Times New Roman"/>
          <w:b/>
          <w:color w:val="auto"/>
          <w:sz w:val="25"/>
          <w:szCs w:val="20"/>
          <w:highlight w:val="none"/>
        </w:rPr>
        <w:t>(投标人单位名称)的法定代表人，现授权委托</w:t>
      </w:r>
      <w:r>
        <w:rPr>
          <w:rStyle w:val="32"/>
          <w:rFonts w:cs="Times New Roman"/>
          <w:b/>
          <w:color w:val="auto"/>
          <w:sz w:val="25"/>
          <w:szCs w:val="20"/>
          <w:highlight w:val="none"/>
          <w:u w:val="single" w:color="000000"/>
        </w:rPr>
        <w:t xml:space="preserve">              </w:t>
      </w:r>
      <w:r>
        <w:rPr>
          <w:rStyle w:val="32"/>
          <w:rFonts w:cs="Times New Roman"/>
          <w:b/>
          <w:color w:val="auto"/>
          <w:sz w:val="25"/>
          <w:szCs w:val="20"/>
          <w:highlight w:val="none"/>
        </w:rPr>
        <w:t>（姓名）(身份证号：</w:t>
      </w:r>
      <w:r>
        <w:rPr>
          <w:rStyle w:val="32"/>
          <w:rFonts w:cs="Times New Roman"/>
          <w:b/>
          <w:color w:val="auto"/>
          <w:sz w:val="25"/>
          <w:szCs w:val="20"/>
          <w:highlight w:val="none"/>
          <w:u w:val="single" w:color="000000"/>
        </w:rPr>
        <w:t xml:space="preserve">                  </w:t>
      </w:r>
      <w:r>
        <w:rPr>
          <w:rStyle w:val="32"/>
          <w:rFonts w:cs="Times New Roman"/>
          <w:b/>
          <w:color w:val="auto"/>
          <w:sz w:val="25"/>
          <w:szCs w:val="20"/>
          <w:highlight w:val="none"/>
        </w:rPr>
        <w:t>)为我方代理人。代理人根据授权，以我方名义签署、澄清、说明、补正、撤回、修改</w:t>
      </w:r>
      <w:r>
        <w:rPr>
          <w:rStyle w:val="32"/>
          <w:rFonts w:cs="Times New Roman"/>
          <w:b/>
          <w:color w:val="auto"/>
          <w:sz w:val="25"/>
          <w:szCs w:val="20"/>
          <w:highlight w:val="none"/>
          <w:u w:val="single" w:color="000000"/>
        </w:rPr>
        <w:t xml:space="preserve">         </w:t>
      </w:r>
      <w:r>
        <w:rPr>
          <w:rStyle w:val="32"/>
          <w:rFonts w:cs="Times New Roman"/>
          <w:b/>
          <w:color w:val="auto"/>
          <w:sz w:val="25"/>
          <w:szCs w:val="20"/>
          <w:highlight w:val="none"/>
        </w:rPr>
        <w:t>(项目名称)投标文件，签订合同和处理有关事宜，其法律后果由我方承担。</w:t>
      </w:r>
    </w:p>
    <w:p>
      <w:pPr>
        <w:snapToGrid w:val="0"/>
        <w:spacing w:line="360" w:lineRule="auto"/>
        <w:ind w:firstLine="502" w:firstLineChars="200"/>
        <w:rPr>
          <w:rStyle w:val="32"/>
          <w:rFonts w:cs="Times New Roman"/>
          <w:b/>
          <w:color w:val="auto"/>
          <w:sz w:val="25"/>
          <w:szCs w:val="20"/>
          <w:highlight w:val="none"/>
        </w:rPr>
      </w:pPr>
      <w:r>
        <w:rPr>
          <w:rStyle w:val="32"/>
          <w:rFonts w:cs="Times New Roman"/>
          <w:b/>
          <w:color w:val="auto"/>
          <w:sz w:val="25"/>
          <w:szCs w:val="20"/>
          <w:highlight w:val="none"/>
        </w:rPr>
        <w:t>委托期限：</w:t>
      </w:r>
      <w:r>
        <w:rPr>
          <w:rStyle w:val="32"/>
          <w:rFonts w:cs="Times New Roman"/>
          <w:b/>
          <w:color w:val="auto"/>
          <w:sz w:val="25"/>
          <w:szCs w:val="20"/>
          <w:highlight w:val="none"/>
          <w:u w:val="single" w:color="000000"/>
        </w:rPr>
        <w:t xml:space="preserve">                </w:t>
      </w:r>
      <w:r>
        <w:rPr>
          <w:rStyle w:val="32"/>
          <w:rFonts w:cs="Times New Roman"/>
          <w:b/>
          <w:color w:val="auto"/>
          <w:sz w:val="25"/>
          <w:szCs w:val="20"/>
          <w:highlight w:val="none"/>
        </w:rPr>
        <w:t xml:space="preserve"> </w:t>
      </w:r>
    </w:p>
    <w:p>
      <w:pPr>
        <w:snapToGrid w:val="0"/>
        <w:spacing w:line="360" w:lineRule="auto"/>
        <w:ind w:firstLine="502" w:firstLineChars="200"/>
        <w:rPr>
          <w:rStyle w:val="32"/>
          <w:rFonts w:cs="Times New Roman"/>
          <w:b/>
          <w:color w:val="auto"/>
          <w:sz w:val="25"/>
          <w:szCs w:val="20"/>
          <w:highlight w:val="none"/>
        </w:rPr>
      </w:pPr>
      <w:r>
        <w:rPr>
          <w:rStyle w:val="32"/>
          <w:rFonts w:cs="Times New Roman"/>
          <w:b/>
          <w:color w:val="auto"/>
          <w:sz w:val="25"/>
          <w:szCs w:val="20"/>
          <w:highlight w:val="none"/>
        </w:rPr>
        <w:t>代理人无转委托权。</w:t>
      </w:r>
    </w:p>
    <w:p>
      <w:pPr>
        <w:snapToGrid w:val="0"/>
        <w:spacing w:line="360" w:lineRule="auto"/>
        <w:ind w:firstLine="502" w:firstLineChars="200"/>
        <w:rPr>
          <w:rStyle w:val="32"/>
          <w:rFonts w:cs="Times New Roman"/>
          <w:b/>
          <w:color w:val="auto"/>
          <w:sz w:val="25"/>
          <w:szCs w:val="20"/>
          <w:highlight w:val="none"/>
          <w:u w:val="single"/>
        </w:rPr>
      </w:pPr>
      <w:r>
        <w:rPr>
          <w:rStyle w:val="32"/>
          <w:rFonts w:cs="Times New Roman"/>
          <w:b/>
          <w:color w:val="auto"/>
          <w:sz w:val="25"/>
          <w:szCs w:val="20"/>
          <w:highlight w:val="none"/>
        </w:rPr>
        <w:t>代理人（签字）：</w:t>
      </w:r>
      <w:r>
        <w:rPr>
          <w:rStyle w:val="32"/>
          <w:rFonts w:cs="Times New Roman"/>
          <w:b/>
          <w:color w:val="auto"/>
          <w:sz w:val="25"/>
          <w:szCs w:val="20"/>
          <w:highlight w:val="none"/>
          <w:u w:val="single" w:color="000000"/>
        </w:rPr>
        <w:t xml:space="preserve">                </w:t>
      </w:r>
      <w:r>
        <w:rPr>
          <w:rStyle w:val="32"/>
          <w:rFonts w:cs="Times New Roman"/>
          <w:b/>
          <w:color w:val="auto"/>
          <w:sz w:val="25"/>
          <w:szCs w:val="20"/>
          <w:highlight w:val="none"/>
        </w:rPr>
        <w:t xml:space="preserve">    性别：</w:t>
      </w:r>
      <w:r>
        <w:rPr>
          <w:rStyle w:val="32"/>
          <w:rFonts w:cs="Times New Roman"/>
          <w:b/>
          <w:color w:val="auto"/>
          <w:sz w:val="25"/>
          <w:szCs w:val="20"/>
          <w:highlight w:val="none"/>
          <w:u w:val="single" w:color="000000"/>
        </w:rPr>
        <w:t xml:space="preserve">          </w:t>
      </w:r>
      <w:r>
        <w:rPr>
          <w:rStyle w:val="32"/>
          <w:rFonts w:cs="Times New Roman"/>
          <w:b/>
          <w:color w:val="auto"/>
          <w:sz w:val="25"/>
          <w:szCs w:val="20"/>
          <w:highlight w:val="none"/>
        </w:rPr>
        <w:t xml:space="preserve">   年龄：</w:t>
      </w:r>
      <w:r>
        <w:rPr>
          <w:rStyle w:val="32"/>
          <w:rFonts w:cs="Times New Roman"/>
          <w:b/>
          <w:color w:val="auto"/>
          <w:sz w:val="25"/>
          <w:szCs w:val="20"/>
          <w:highlight w:val="none"/>
          <w:u w:val="single" w:color="000000"/>
        </w:rPr>
        <w:t xml:space="preserve">           </w:t>
      </w:r>
    </w:p>
    <w:p>
      <w:pPr>
        <w:snapToGrid w:val="0"/>
        <w:spacing w:line="360" w:lineRule="auto"/>
        <w:ind w:firstLine="502" w:firstLineChars="200"/>
        <w:rPr>
          <w:rStyle w:val="32"/>
          <w:rFonts w:cs="Times New Roman"/>
          <w:b/>
          <w:color w:val="auto"/>
          <w:sz w:val="25"/>
          <w:szCs w:val="20"/>
          <w:highlight w:val="none"/>
          <w:u w:val="single"/>
        </w:rPr>
      </w:pPr>
      <w:r>
        <w:rPr>
          <w:rStyle w:val="32"/>
          <w:rFonts w:cs="Times New Roman"/>
          <w:b/>
          <w:color w:val="auto"/>
          <w:sz w:val="25"/>
          <w:szCs w:val="20"/>
          <w:highlight w:val="none"/>
        </w:rPr>
        <w:t>代理人单位：</w:t>
      </w:r>
      <w:r>
        <w:rPr>
          <w:rStyle w:val="32"/>
          <w:rFonts w:cs="Times New Roman"/>
          <w:b/>
          <w:color w:val="auto"/>
          <w:sz w:val="25"/>
          <w:szCs w:val="20"/>
          <w:highlight w:val="none"/>
          <w:u w:val="single" w:color="000000"/>
        </w:rPr>
        <w:t xml:space="preserve">            </w:t>
      </w:r>
      <w:r>
        <w:rPr>
          <w:rStyle w:val="32"/>
          <w:rFonts w:cs="Times New Roman"/>
          <w:b/>
          <w:color w:val="auto"/>
          <w:sz w:val="25"/>
          <w:szCs w:val="20"/>
          <w:highlight w:val="none"/>
        </w:rPr>
        <w:t xml:space="preserve">    部门：</w:t>
      </w:r>
      <w:r>
        <w:rPr>
          <w:rStyle w:val="32"/>
          <w:rFonts w:cs="Times New Roman"/>
          <w:b/>
          <w:color w:val="auto"/>
          <w:sz w:val="25"/>
          <w:szCs w:val="20"/>
          <w:highlight w:val="none"/>
          <w:u w:val="single" w:color="000000"/>
        </w:rPr>
        <w:t xml:space="preserve">          </w:t>
      </w:r>
      <w:r>
        <w:rPr>
          <w:rStyle w:val="32"/>
          <w:rFonts w:cs="Times New Roman"/>
          <w:b/>
          <w:color w:val="auto"/>
          <w:sz w:val="25"/>
          <w:szCs w:val="20"/>
          <w:highlight w:val="none"/>
        </w:rPr>
        <w:t xml:space="preserve">   职务：</w:t>
      </w:r>
      <w:r>
        <w:rPr>
          <w:rStyle w:val="32"/>
          <w:rFonts w:cs="Times New Roman"/>
          <w:b/>
          <w:color w:val="auto"/>
          <w:sz w:val="25"/>
          <w:szCs w:val="20"/>
          <w:highlight w:val="none"/>
          <w:u w:val="single" w:color="000000"/>
        </w:rPr>
        <w:t xml:space="preserve">           </w:t>
      </w:r>
    </w:p>
    <w:p>
      <w:pPr>
        <w:snapToGrid w:val="0"/>
        <w:spacing w:after="120" w:line="360" w:lineRule="auto"/>
        <w:ind w:firstLine="520" w:firstLineChars="200"/>
        <w:jc w:val="center"/>
        <w:rPr>
          <w:rStyle w:val="32"/>
          <w:rFonts w:cs="Times New Roman"/>
          <w:color w:val="auto"/>
          <w:spacing w:val="10"/>
          <w:sz w:val="24"/>
          <w:szCs w:val="24"/>
          <w:highlight w:val="none"/>
        </w:rPr>
      </w:pPr>
    </w:p>
    <w:p>
      <w:pPr>
        <w:snapToGrid w:val="0"/>
        <w:spacing w:after="120" w:line="360" w:lineRule="auto"/>
        <w:ind w:firstLine="520" w:firstLineChars="200"/>
        <w:jc w:val="center"/>
        <w:rPr>
          <w:rStyle w:val="32"/>
          <w:rFonts w:cs="Times New Roman"/>
          <w:color w:val="auto"/>
          <w:spacing w:val="10"/>
          <w:sz w:val="24"/>
          <w:szCs w:val="24"/>
          <w:highlight w:val="none"/>
        </w:rPr>
      </w:pPr>
    </w:p>
    <w:p>
      <w:pPr>
        <w:snapToGrid w:val="0"/>
        <w:spacing w:line="360" w:lineRule="auto"/>
        <w:ind w:firstLine="4016" w:firstLineChars="1600"/>
        <w:rPr>
          <w:rStyle w:val="32"/>
          <w:rFonts w:cs="Times New Roman"/>
          <w:b/>
          <w:color w:val="auto"/>
          <w:sz w:val="25"/>
          <w:szCs w:val="20"/>
          <w:highlight w:val="none"/>
        </w:rPr>
      </w:pPr>
      <w:r>
        <w:rPr>
          <w:rStyle w:val="32"/>
          <w:rFonts w:cs="Times New Roman"/>
          <w:b/>
          <w:color w:val="auto"/>
          <w:sz w:val="25"/>
          <w:szCs w:val="20"/>
          <w:highlight w:val="none"/>
        </w:rPr>
        <w:t>投标人：</w:t>
      </w:r>
      <w:r>
        <w:rPr>
          <w:rStyle w:val="32"/>
          <w:rFonts w:cs="Times New Roman"/>
          <w:b/>
          <w:color w:val="auto"/>
          <w:sz w:val="25"/>
          <w:szCs w:val="20"/>
          <w:highlight w:val="none"/>
          <w:u w:val="single" w:color="000000"/>
        </w:rPr>
        <w:t xml:space="preserve">                   </w:t>
      </w:r>
      <w:r>
        <w:rPr>
          <w:rStyle w:val="32"/>
          <w:rFonts w:cs="Times New Roman"/>
          <w:b/>
          <w:color w:val="auto"/>
          <w:sz w:val="25"/>
          <w:szCs w:val="20"/>
          <w:highlight w:val="none"/>
        </w:rPr>
        <w:t>(盖单位章)</w:t>
      </w:r>
    </w:p>
    <w:p>
      <w:pPr>
        <w:snapToGrid w:val="0"/>
        <w:spacing w:line="360" w:lineRule="auto"/>
        <w:ind w:firstLine="4016" w:firstLineChars="1600"/>
        <w:rPr>
          <w:rStyle w:val="32"/>
          <w:rFonts w:cs="Times New Roman"/>
          <w:b/>
          <w:color w:val="auto"/>
          <w:sz w:val="25"/>
          <w:szCs w:val="20"/>
          <w:highlight w:val="none"/>
        </w:rPr>
      </w:pPr>
      <w:r>
        <w:rPr>
          <w:rStyle w:val="32"/>
          <w:rFonts w:cs="Times New Roman"/>
          <w:b/>
          <w:color w:val="auto"/>
          <w:sz w:val="25"/>
          <w:szCs w:val="20"/>
          <w:highlight w:val="none"/>
        </w:rPr>
        <w:t>法定代表人(签字):</w:t>
      </w:r>
      <w:r>
        <w:rPr>
          <w:rStyle w:val="32"/>
          <w:rFonts w:cs="Times New Roman"/>
          <w:b/>
          <w:color w:val="auto"/>
          <w:sz w:val="25"/>
          <w:szCs w:val="20"/>
          <w:highlight w:val="none"/>
          <w:u w:val="single" w:color="000000"/>
        </w:rPr>
        <w:t xml:space="preserve">                </w:t>
      </w:r>
      <w:r>
        <w:rPr>
          <w:rStyle w:val="32"/>
          <w:rFonts w:cs="Times New Roman"/>
          <w:b/>
          <w:color w:val="auto"/>
          <w:sz w:val="25"/>
          <w:szCs w:val="20"/>
          <w:highlight w:val="none"/>
        </w:rPr>
        <w:t xml:space="preserve">  </w:t>
      </w:r>
    </w:p>
    <w:p>
      <w:pPr>
        <w:snapToGrid w:val="0"/>
        <w:spacing w:line="360" w:lineRule="auto"/>
        <w:ind w:firstLine="4016" w:firstLineChars="1600"/>
        <w:rPr>
          <w:rStyle w:val="32"/>
          <w:rFonts w:cs="Times New Roman"/>
          <w:b/>
          <w:color w:val="auto"/>
          <w:sz w:val="25"/>
          <w:szCs w:val="20"/>
          <w:highlight w:val="none"/>
        </w:rPr>
      </w:pPr>
      <w:r>
        <w:rPr>
          <w:rStyle w:val="32"/>
          <w:rFonts w:cs="Times New Roman"/>
          <w:b/>
          <w:color w:val="auto"/>
          <w:sz w:val="25"/>
          <w:szCs w:val="20"/>
          <w:highlight w:val="none"/>
        </w:rPr>
        <w:t>日   期：</w:t>
      </w:r>
      <w:r>
        <w:rPr>
          <w:rStyle w:val="32"/>
          <w:rFonts w:cs="Times New Roman"/>
          <w:b/>
          <w:color w:val="auto"/>
          <w:sz w:val="25"/>
          <w:szCs w:val="20"/>
          <w:highlight w:val="none"/>
          <w:u w:val="single" w:color="000000"/>
        </w:rPr>
        <w:t xml:space="preserve">                           </w:t>
      </w:r>
      <w:r>
        <w:rPr>
          <w:rStyle w:val="32"/>
          <w:rFonts w:cs="Times New Roman"/>
          <w:b/>
          <w:color w:val="auto"/>
          <w:sz w:val="25"/>
          <w:szCs w:val="20"/>
          <w:highlight w:val="none"/>
        </w:rPr>
        <w:t xml:space="preserve"> </w:t>
      </w:r>
    </w:p>
    <w:p>
      <w:pPr>
        <w:snapToGrid w:val="0"/>
        <w:spacing w:after="120" w:line="360" w:lineRule="auto"/>
        <w:ind w:firstLine="520" w:firstLineChars="200"/>
        <w:rPr>
          <w:rStyle w:val="32"/>
          <w:rFonts w:cs="Times New Roman"/>
          <w:color w:val="auto"/>
          <w:spacing w:val="10"/>
          <w:sz w:val="24"/>
          <w:szCs w:val="24"/>
          <w:highlight w:val="none"/>
        </w:rPr>
      </w:pPr>
      <w:r>
        <w:rPr>
          <w:rStyle w:val="32"/>
          <w:rFonts w:cs="Times New Roman"/>
          <w:color w:val="auto"/>
          <w:spacing w:val="10"/>
          <w:sz w:val="24"/>
          <w:szCs w:val="24"/>
          <w:highlight w:val="none"/>
        </w:rPr>
        <w:t xml:space="preserve">附：授权委托人身份证 </w:t>
      </w:r>
    </w:p>
    <w:p>
      <w:pPr>
        <w:snapToGrid w:val="0"/>
        <w:spacing w:after="120" w:line="360" w:lineRule="auto"/>
        <w:ind w:firstLine="520" w:firstLineChars="200"/>
        <w:jc w:val="center"/>
        <w:rPr>
          <w:rStyle w:val="32"/>
          <w:rFonts w:cs="Times New Roman"/>
          <w:color w:val="auto"/>
          <w:spacing w:val="10"/>
          <w:sz w:val="24"/>
          <w:szCs w:val="24"/>
          <w:highlight w:val="none"/>
        </w:rPr>
      </w:pPr>
    </w:p>
    <w:p>
      <w:pPr>
        <w:snapToGrid w:val="0"/>
        <w:spacing w:after="120" w:line="360" w:lineRule="auto"/>
        <w:ind w:firstLine="520" w:firstLineChars="200"/>
        <w:jc w:val="center"/>
        <w:rPr>
          <w:rStyle w:val="32"/>
          <w:rFonts w:cs="Times New Roman"/>
          <w:color w:val="auto"/>
          <w:spacing w:val="10"/>
          <w:sz w:val="24"/>
          <w:szCs w:val="24"/>
          <w:highlight w:val="none"/>
        </w:rPr>
      </w:pPr>
    </w:p>
    <w:p>
      <w:pPr>
        <w:snapToGrid w:val="0"/>
        <w:spacing w:line="360" w:lineRule="auto"/>
        <w:ind w:firstLine="400" w:firstLineChars="200"/>
        <w:jc w:val="left"/>
        <w:rPr>
          <w:rStyle w:val="32"/>
          <w:rFonts w:cs="Times New Roman"/>
          <w:color w:val="auto"/>
          <w:kern w:val="0"/>
          <w:sz w:val="20"/>
          <w:highlight w:val="none"/>
        </w:rPr>
      </w:pPr>
    </w:p>
    <w:p>
      <w:pPr>
        <w:snapToGrid w:val="0"/>
        <w:spacing w:line="360" w:lineRule="auto"/>
        <w:ind w:firstLine="400" w:firstLineChars="200"/>
        <w:jc w:val="left"/>
        <w:rPr>
          <w:rStyle w:val="32"/>
          <w:rFonts w:cs="Times New Roman"/>
          <w:color w:val="auto"/>
          <w:kern w:val="0"/>
          <w:sz w:val="20"/>
          <w:highlight w:val="none"/>
        </w:rPr>
      </w:pPr>
    </w:p>
    <w:p>
      <w:pPr>
        <w:snapToGrid w:val="0"/>
        <w:spacing w:line="360" w:lineRule="auto"/>
        <w:ind w:firstLine="400" w:firstLineChars="200"/>
        <w:jc w:val="left"/>
        <w:rPr>
          <w:rStyle w:val="32"/>
          <w:rFonts w:cs="Times New Roman"/>
          <w:color w:val="auto"/>
          <w:kern w:val="0"/>
          <w:sz w:val="20"/>
          <w:highlight w:val="none"/>
        </w:rPr>
      </w:pPr>
    </w:p>
    <w:p>
      <w:pPr>
        <w:snapToGrid w:val="0"/>
        <w:spacing w:line="360" w:lineRule="auto"/>
        <w:ind w:firstLine="400" w:firstLineChars="200"/>
        <w:jc w:val="left"/>
        <w:rPr>
          <w:rStyle w:val="32"/>
          <w:rFonts w:cs="Times New Roman"/>
          <w:color w:val="auto"/>
          <w:kern w:val="0"/>
          <w:sz w:val="20"/>
          <w:highlight w:val="none"/>
        </w:rPr>
      </w:pPr>
    </w:p>
    <w:p>
      <w:pPr>
        <w:snapToGrid w:val="0"/>
        <w:spacing w:line="360" w:lineRule="auto"/>
        <w:ind w:firstLine="400" w:firstLineChars="200"/>
        <w:jc w:val="left"/>
        <w:rPr>
          <w:rStyle w:val="32"/>
          <w:rFonts w:cs="Times New Roman"/>
          <w:color w:val="auto"/>
          <w:kern w:val="0"/>
          <w:sz w:val="20"/>
          <w:highlight w:val="none"/>
        </w:rPr>
      </w:pPr>
    </w:p>
    <w:p>
      <w:pPr>
        <w:snapToGrid w:val="0"/>
        <w:spacing w:line="360" w:lineRule="auto"/>
        <w:ind w:firstLine="400" w:firstLineChars="200"/>
        <w:jc w:val="left"/>
        <w:rPr>
          <w:rStyle w:val="32"/>
          <w:rFonts w:cs="Times New Roman"/>
          <w:color w:val="auto"/>
          <w:kern w:val="0"/>
          <w:sz w:val="20"/>
          <w:highlight w:val="none"/>
        </w:rPr>
      </w:pPr>
    </w:p>
    <w:p>
      <w:pPr>
        <w:snapToGrid w:val="0"/>
        <w:spacing w:line="360" w:lineRule="auto"/>
        <w:ind w:firstLine="400" w:firstLineChars="200"/>
        <w:jc w:val="left"/>
        <w:rPr>
          <w:rStyle w:val="32"/>
          <w:rFonts w:cs="Times New Roman"/>
          <w:color w:val="auto"/>
          <w:kern w:val="0"/>
          <w:sz w:val="20"/>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snapToGrid w:val="0"/>
        <w:spacing w:line="360" w:lineRule="auto"/>
        <w:ind w:firstLine="400" w:firstLineChars="200"/>
        <w:jc w:val="left"/>
        <w:rPr>
          <w:rStyle w:val="32"/>
          <w:rFonts w:cs="Times New Roman"/>
          <w:color w:val="auto"/>
          <w:kern w:val="0"/>
          <w:sz w:val="20"/>
          <w:highlight w:val="none"/>
        </w:rPr>
      </w:pPr>
    </w:p>
    <w:p>
      <w:pPr>
        <w:snapToGrid w:val="0"/>
        <w:spacing w:line="360" w:lineRule="auto"/>
        <w:ind w:firstLine="400" w:firstLineChars="200"/>
        <w:jc w:val="left"/>
        <w:rPr>
          <w:rStyle w:val="32"/>
          <w:rFonts w:cs="Times New Roman"/>
          <w:color w:val="auto"/>
          <w:kern w:val="0"/>
          <w:sz w:val="20"/>
          <w:highlight w:val="none"/>
        </w:rPr>
      </w:pPr>
    </w:p>
    <w:p>
      <w:pPr>
        <w:snapToGrid w:val="0"/>
        <w:spacing w:line="360" w:lineRule="auto"/>
        <w:ind w:firstLine="400" w:firstLineChars="200"/>
        <w:jc w:val="left"/>
        <w:rPr>
          <w:rStyle w:val="32"/>
          <w:rFonts w:cs="Times New Roman"/>
          <w:color w:val="auto"/>
          <w:kern w:val="0"/>
          <w:sz w:val="20"/>
          <w:highlight w:val="none"/>
        </w:rPr>
      </w:pPr>
    </w:p>
    <w:p>
      <w:pPr>
        <w:shd w:val="clear" w:color="auto" w:fill="FFFFFF"/>
        <w:snapToGrid w:val="0"/>
        <w:spacing w:before="312" w:beforeAutospacing="1" w:after="312" w:afterAutospacing="1" w:line="360" w:lineRule="auto"/>
        <w:jc w:val="center"/>
        <w:rPr>
          <w:rStyle w:val="32"/>
          <w:rFonts w:cs="Times New Roman"/>
          <w:b/>
          <w:color w:val="auto"/>
          <w:sz w:val="36"/>
          <w:szCs w:val="36"/>
          <w:highlight w:val="none"/>
        </w:rPr>
      </w:pPr>
      <w:r>
        <w:rPr>
          <w:rStyle w:val="32"/>
          <w:rFonts w:cs="Times New Roman"/>
          <w:b/>
          <w:color w:val="auto"/>
          <w:sz w:val="36"/>
          <w:szCs w:val="36"/>
          <w:highlight w:val="none"/>
        </w:rPr>
        <w:t>三、投标人基本情况表</w:t>
      </w:r>
    </w:p>
    <w:tbl>
      <w:tblPr>
        <w:tblStyle w:val="13"/>
        <w:tblW w:w="974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
        <w:gridCol w:w="5103"/>
        <w:gridCol w:w="3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jc w:val="center"/>
              <w:rPr>
                <w:rStyle w:val="209"/>
                <w:rFonts w:cs="Times New Roman"/>
                <w:color w:val="auto"/>
                <w:sz w:val="24"/>
                <w:highlight w:val="none"/>
              </w:rPr>
            </w:pPr>
            <w:r>
              <w:rPr>
                <w:rStyle w:val="209"/>
                <w:rFonts w:cs="Times New Roman"/>
                <w:color w:val="auto"/>
                <w:sz w:val="24"/>
                <w:highlight w:val="none"/>
              </w:rPr>
              <w:t>1</w:t>
            </w:r>
          </w:p>
        </w:tc>
        <w:tc>
          <w:tcPr>
            <w:tcW w:w="864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rPr>
                <w:rStyle w:val="209"/>
                <w:rFonts w:cs="Times New Roman"/>
                <w:color w:val="auto"/>
                <w:sz w:val="24"/>
                <w:highlight w:val="none"/>
              </w:rPr>
            </w:pPr>
            <w:r>
              <w:rPr>
                <w:rStyle w:val="209"/>
                <w:rFonts w:cs="Times New Roman"/>
                <w:color w:val="auto"/>
                <w:sz w:val="24"/>
                <w:highlight w:val="none"/>
              </w:rPr>
              <w:t>企业名称：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jc w:val="center"/>
              <w:rPr>
                <w:rStyle w:val="209"/>
                <w:rFonts w:cs="Times New Roman"/>
                <w:color w:val="auto"/>
                <w:sz w:val="24"/>
                <w:highlight w:val="none"/>
              </w:rPr>
            </w:pPr>
            <w:r>
              <w:rPr>
                <w:rStyle w:val="209"/>
                <w:rFonts w:cs="Times New Roman"/>
                <w:color w:val="auto"/>
                <w:sz w:val="24"/>
                <w:highlight w:val="none"/>
              </w:rPr>
              <w:t>2</w:t>
            </w:r>
          </w:p>
        </w:tc>
        <w:tc>
          <w:tcPr>
            <w:tcW w:w="864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rPr>
                <w:rStyle w:val="209"/>
                <w:rFonts w:cs="Times New Roman"/>
                <w:color w:val="auto"/>
                <w:sz w:val="24"/>
                <w:highlight w:val="none"/>
              </w:rPr>
            </w:pPr>
            <w:r>
              <w:rPr>
                <w:rStyle w:val="209"/>
                <w:rFonts w:cs="Times New Roman"/>
                <w:color w:val="auto"/>
                <w:sz w:val="24"/>
                <w:highlight w:val="none"/>
              </w:rPr>
              <w:t>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jc w:val="center"/>
              <w:rPr>
                <w:rStyle w:val="209"/>
                <w:rFonts w:cs="Times New Roman"/>
                <w:color w:val="auto"/>
                <w:sz w:val="24"/>
                <w:highlight w:val="none"/>
              </w:rPr>
            </w:pPr>
            <w:r>
              <w:rPr>
                <w:rStyle w:val="209"/>
                <w:rFonts w:cs="Times New Roman"/>
                <w:color w:val="auto"/>
                <w:sz w:val="24"/>
                <w:highlight w:val="none"/>
              </w:rPr>
              <w:t>3</w:t>
            </w:r>
          </w:p>
        </w:tc>
        <w:tc>
          <w:tcPr>
            <w:tcW w:w="864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rPr>
                <w:rStyle w:val="209"/>
                <w:rFonts w:cs="Times New Roman"/>
                <w:color w:val="auto"/>
                <w:sz w:val="24"/>
                <w:highlight w:val="none"/>
              </w:rPr>
            </w:pPr>
            <w:r>
              <w:rPr>
                <w:rStyle w:val="209"/>
                <w:rFonts w:cs="Times New Roman"/>
                <w:color w:val="auto"/>
                <w:sz w:val="24"/>
                <w:highlight w:val="none"/>
              </w:rPr>
              <w:t>当地分支机构地址（若有）：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jc w:val="center"/>
              <w:rPr>
                <w:rStyle w:val="209"/>
                <w:rFonts w:cs="Times New Roman"/>
                <w:color w:val="auto"/>
                <w:sz w:val="24"/>
                <w:highlight w:val="none"/>
              </w:rPr>
            </w:pPr>
            <w:r>
              <w:rPr>
                <w:rStyle w:val="209"/>
                <w:rFonts w:cs="Times New Roman"/>
                <w:color w:val="auto"/>
                <w:sz w:val="24"/>
                <w:highlight w:val="none"/>
              </w:rPr>
              <w:t>4</w:t>
            </w:r>
          </w:p>
        </w:tc>
        <w:tc>
          <w:tcPr>
            <w:tcW w:w="5103" w:type="dxa"/>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rPr>
                <w:rStyle w:val="209"/>
                <w:rFonts w:cs="Times New Roman"/>
                <w:color w:val="auto"/>
                <w:sz w:val="24"/>
                <w:highlight w:val="none"/>
              </w:rPr>
            </w:pPr>
            <w:r>
              <w:rPr>
                <w:rStyle w:val="209"/>
                <w:rFonts w:cs="Times New Roman"/>
                <w:color w:val="auto"/>
                <w:sz w:val="24"/>
                <w:highlight w:val="none"/>
              </w:rPr>
              <w:t>电话：</w:t>
            </w:r>
          </w:p>
        </w:tc>
        <w:tc>
          <w:tcPr>
            <w:tcW w:w="3543" w:type="dxa"/>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rPr>
                <w:rStyle w:val="209"/>
                <w:rFonts w:cs="Times New Roman"/>
                <w:color w:val="auto"/>
                <w:sz w:val="24"/>
                <w:highlight w:val="none"/>
              </w:rPr>
            </w:pPr>
            <w:r>
              <w:rPr>
                <w:rStyle w:val="209"/>
                <w:rFonts w:cs="Times New Roman"/>
                <w:color w:val="auto"/>
                <w:sz w:val="24"/>
                <w:highlight w:val="none"/>
              </w:rPr>
              <w:t>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jc w:val="center"/>
              <w:rPr>
                <w:rStyle w:val="209"/>
                <w:rFonts w:cs="Times New Roman"/>
                <w:color w:val="auto"/>
                <w:sz w:val="24"/>
                <w:highlight w:val="none"/>
              </w:rPr>
            </w:pPr>
            <w:r>
              <w:rPr>
                <w:rStyle w:val="209"/>
                <w:rFonts w:cs="Times New Roman"/>
                <w:color w:val="auto"/>
                <w:sz w:val="24"/>
                <w:highlight w:val="none"/>
              </w:rPr>
              <w:t>5</w:t>
            </w:r>
          </w:p>
        </w:tc>
        <w:tc>
          <w:tcPr>
            <w:tcW w:w="5103" w:type="dxa"/>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rPr>
                <w:rStyle w:val="209"/>
                <w:rFonts w:cs="Times New Roman"/>
                <w:color w:val="auto"/>
                <w:sz w:val="24"/>
                <w:highlight w:val="none"/>
              </w:rPr>
            </w:pPr>
            <w:r>
              <w:rPr>
                <w:rStyle w:val="209"/>
                <w:rFonts w:cs="Times New Roman"/>
                <w:color w:val="auto"/>
                <w:sz w:val="24"/>
                <w:highlight w:val="none"/>
              </w:rPr>
              <w:t>传真：</w:t>
            </w:r>
          </w:p>
        </w:tc>
        <w:tc>
          <w:tcPr>
            <w:tcW w:w="3543" w:type="dxa"/>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rPr>
                <w:rStyle w:val="209"/>
                <w:rFonts w:cs="Times New Roman"/>
                <w:color w:val="auto"/>
                <w:sz w:val="24"/>
                <w:highlight w:val="none"/>
              </w:rPr>
            </w:pPr>
            <w:r>
              <w:rPr>
                <w:rStyle w:val="209"/>
                <w:rFonts w:cs="Times New Roman"/>
                <w:color w:val="auto"/>
                <w:sz w:val="24"/>
                <w:highlight w:val="none"/>
              </w:rPr>
              <w:t>电子邮件：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jc w:val="center"/>
              <w:rPr>
                <w:rStyle w:val="209"/>
                <w:rFonts w:cs="Times New Roman"/>
                <w:color w:val="auto"/>
                <w:sz w:val="24"/>
                <w:highlight w:val="none"/>
              </w:rPr>
            </w:pPr>
            <w:r>
              <w:rPr>
                <w:rStyle w:val="209"/>
                <w:rFonts w:cs="Times New Roman"/>
                <w:color w:val="auto"/>
                <w:sz w:val="24"/>
                <w:highlight w:val="none"/>
              </w:rPr>
              <w:t>6</w:t>
            </w:r>
          </w:p>
        </w:tc>
        <w:tc>
          <w:tcPr>
            <w:tcW w:w="5103" w:type="dxa"/>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rPr>
                <w:rStyle w:val="209"/>
                <w:rFonts w:cs="Times New Roman"/>
                <w:color w:val="auto"/>
                <w:sz w:val="24"/>
                <w:highlight w:val="none"/>
              </w:rPr>
            </w:pPr>
            <w:r>
              <w:rPr>
                <w:rStyle w:val="209"/>
                <w:rFonts w:cs="Times New Roman"/>
                <w:color w:val="auto"/>
                <w:sz w:val="24"/>
                <w:highlight w:val="none"/>
              </w:rPr>
              <w:t>注册地：</w:t>
            </w:r>
          </w:p>
        </w:tc>
        <w:tc>
          <w:tcPr>
            <w:tcW w:w="3543" w:type="dxa"/>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rPr>
                <w:rStyle w:val="209"/>
                <w:rFonts w:cs="Times New Roman"/>
                <w:color w:val="auto"/>
                <w:sz w:val="24"/>
                <w:highlight w:val="none"/>
              </w:rPr>
            </w:pPr>
            <w:r>
              <w:rPr>
                <w:rStyle w:val="209"/>
                <w:rFonts w:cs="Times New Roman"/>
                <w:color w:val="auto"/>
                <w:sz w:val="24"/>
                <w:highlight w:val="none"/>
              </w:rPr>
              <w:t>注册年份：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jc w:val="center"/>
              <w:rPr>
                <w:rStyle w:val="209"/>
                <w:rFonts w:cs="Times New Roman"/>
                <w:color w:val="auto"/>
                <w:sz w:val="24"/>
                <w:highlight w:val="none"/>
              </w:rPr>
            </w:pPr>
            <w:r>
              <w:rPr>
                <w:rStyle w:val="209"/>
                <w:rFonts w:cs="Times New Roman"/>
                <w:color w:val="auto"/>
                <w:sz w:val="24"/>
                <w:highlight w:val="none"/>
              </w:rPr>
              <w:t>7</w:t>
            </w:r>
          </w:p>
        </w:tc>
        <w:tc>
          <w:tcPr>
            <w:tcW w:w="864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rPr>
                <w:rStyle w:val="209"/>
                <w:rFonts w:cs="Times New Roman"/>
                <w:color w:val="auto"/>
                <w:sz w:val="24"/>
                <w:highlight w:val="none"/>
              </w:rPr>
            </w:pPr>
            <w:r>
              <w:rPr>
                <w:rStyle w:val="209"/>
                <w:rFonts w:cs="Times New Roman"/>
                <w:color w:val="auto"/>
                <w:sz w:val="24"/>
                <w:highlight w:val="none"/>
              </w:rPr>
              <w:t>公司资质等级证书号（请附有关证书的复印件）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jc w:val="center"/>
              <w:rPr>
                <w:rStyle w:val="209"/>
                <w:rFonts w:cs="Times New Roman"/>
                <w:color w:val="auto"/>
                <w:sz w:val="24"/>
                <w:highlight w:val="none"/>
              </w:rPr>
            </w:pPr>
            <w:r>
              <w:rPr>
                <w:rStyle w:val="209"/>
                <w:rFonts w:cs="Times New Roman"/>
                <w:color w:val="auto"/>
                <w:sz w:val="24"/>
                <w:highlight w:val="none"/>
              </w:rPr>
              <w:t>8</w:t>
            </w:r>
          </w:p>
        </w:tc>
        <w:tc>
          <w:tcPr>
            <w:tcW w:w="864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rPr>
                <w:rStyle w:val="209"/>
                <w:rFonts w:cs="Times New Roman"/>
                <w:color w:val="auto"/>
                <w:sz w:val="24"/>
                <w:highlight w:val="none"/>
              </w:rPr>
            </w:pPr>
            <w:r>
              <w:rPr>
                <w:rStyle w:val="209"/>
                <w:rFonts w:cs="Times New Roman"/>
                <w:color w:val="auto"/>
                <w:sz w:val="24"/>
                <w:highlight w:val="none"/>
              </w:rPr>
              <w:t>公司</w:t>
            </w:r>
            <w:r>
              <w:rPr>
                <w:rStyle w:val="209"/>
                <w:rFonts w:cs="Times New Roman"/>
                <w:color w:val="auto"/>
                <w:sz w:val="24"/>
                <w:highlight w:val="none"/>
                <w:u w:val="single" w:color="000000"/>
              </w:rPr>
              <w:t xml:space="preserve">   （是否通过，何种）   </w:t>
            </w:r>
            <w:r>
              <w:rPr>
                <w:rStyle w:val="209"/>
                <w:rFonts w:cs="Times New Roman"/>
                <w:color w:val="auto"/>
                <w:sz w:val="24"/>
                <w:highlight w:val="none"/>
              </w:rPr>
              <w:t>质量保证体系认证（如通过请附相关证书复印件）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jc w:val="center"/>
              <w:rPr>
                <w:rStyle w:val="209"/>
                <w:rFonts w:cs="Times New Roman"/>
                <w:color w:val="auto"/>
                <w:sz w:val="24"/>
                <w:highlight w:val="none"/>
              </w:rPr>
            </w:pPr>
            <w:r>
              <w:rPr>
                <w:rStyle w:val="209"/>
                <w:rFonts w:cs="Times New Roman"/>
                <w:color w:val="auto"/>
                <w:sz w:val="24"/>
                <w:highlight w:val="none"/>
              </w:rPr>
              <w:t>9</w:t>
            </w:r>
          </w:p>
        </w:tc>
        <w:tc>
          <w:tcPr>
            <w:tcW w:w="864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rPr>
                <w:rStyle w:val="209"/>
                <w:rFonts w:cs="Times New Roman"/>
                <w:color w:val="auto"/>
                <w:sz w:val="24"/>
                <w:highlight w:val="none"/>
              </w:rPr>
            </w:pPr>
            <w:r>
              <w:rPr>
                <w:rStyle w:val="209"/>
                <w:rFonts w:cs="Times New Roman"/>
                <w:color w:val="auto"/>
                <w:sz w:val="24"/>
                <w:highlight w:val="none"/>
              </w:rPr>
              <w:t>经营范围：</w:t>
            </w:r>
          </w:p>
          <w:p>
            <w:pPr>
              <w:tabs>
                <w:tab w:val="left" w:pos="993"/>
              </w:tabs>
              <w:snapToGrid w:val="0"/>
              <w:spacing w:line="560" w:lineRule="exact"/>
              <w:rPr>
                <w:rStyle w:val="209"/>
                <w:rFonts w:cs="Times New Roman"/>
                <w:color w:val="auto"/>
                <w:sz w:val="24"/>
                <w:highlight w:val="none"/>
              </w:rPr>
            </w:pPr>
            <w:r>
              <w:rPr>
                <w:rStyle w:val="209"/>
                <w:rFonts w:cs="Times New Roman"/>
                <w:color w:val="auto"/>
                <w:sz w:val="24"/>
                <w:highlight w:val="none"/>
              </w:rPr>
              <w:t>1.</w:t>
            </w:r>
            <w:r>
              <w:rPr>
                <w:rStyle w:val="209"/>
                <w:rFonts w:cs="Times New Roman"/>
                <w:color w:val="auto"/>
                <w:sz w:val="24"/>
                <w:highlight w:val="none"/>
                <w:u w:val="single" w:color="000000"/>
              </w:rPr>
              <w:t xml:space="preserve">             </w:t>
            </w:r>
            <w:r>
              <w:rPr>
                <w:rStyle w:val="209"/>
                <w:rFonts w:cs="Times New Roman"/>
                <w:color w:val="auto"/>
                <w:sz w:val="24"/>
                <w:highlight w:val="none"/>
              </w:rPr>
              <w:t xml:space="preserve"> ；2.</w:t>
            </w:r>
            <w:r>
              <w:rPr>
                <w:rStyle w:val="209"/>
                <w:rFonts w:cs="Times New Roman"/>
                <w:color w:val="auto"/>
                <w:sz w:val="24"/>
                <w:highlight w:val="none"/>
                <w:u w:val="single" w:color="000000"/>
              </w:rPr>
              <w:t xml:space="preserve">              </w:t>
            </w:r>
            <w:r>
              <w:rPr>
                <w:rStyle w:val="209"/>
                <w:rFonts w:cs="Times New Roman"/>
                <w:color w:val="auto"/>
                <w:sz w:val="24"/>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jc w:val="center"/>
              <w:rPr>
                <w:rStyle w:val="209"/>
                <w:rFonts w:cs="Times New Roman"/>
                <w:color w:val="auto"/>
                <w:sz w:val="24"/>
                <w:highlight w:val="none"/>
              </w:rPr>
            </w:pPr>
            <w:r>
              <w:rPr>
                <w:rStyle w:val="209"/>
                <w:rFonts w:cs="Times New Roman"/>
                <w:color w:val="auto"/>
                <w:sz w:val="24"/>
                <w:highlight w:val="none"/>
              </w:rPr>
              <w:t>10</w:t>
            </w:r>
          </w:p>
        </w:tc>
        <w:tc>
          <w:tcPr>
            <w:tcW w:w="5103" w:type="dxa"/>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rPr>
                <w:rStyle w:val="209"/>
                <w:rFonts w:cs="Times New Roman"/>
                <w:color w:val="auto"/>
                <w:sz w:val="24"/>
                <w:highlight w:val="none"/>
              </w:rPr>
            </w:pPr>
            <w:r>
              <w:rPr>
                <w:rStyle w:val="209"/>
                <w:rFonts w:cs="Times New Roman"/>
                <w:color w:val="auto"/>
                <w:sz w:val="24"/>
                <w:highlight w:val="none"/>
              </w:rPr>
              <w:t>供应商从事投标项目的年数</w:t>
            </w:r>
          </w:p>
        </w:tc>
        <w:tc>
          <w:tcPr>
            <w:tcW w:w="3543" w:type="dxa"/>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rPr>
                <w:rStyle w:val="209"/>
                <w:rFonts w:cs="Times New Roman"/>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jc w:val="center"/>
              <w:rPr>
                <w:rStyle w:val="209"/>
                <w:rFonts w:cs="Times New Roman"/>
                <w:color w:val="auto"/>
                <w:sz w:val="24"/>
                <w:highlight w:val="none"/>
              </w:rPr>
            </w:pPr>
            <w:r>
              <w:rPr>
                <w:rStyle w:val="209"/>
                <w:rFonts w:cs="Times New Roman"/>
                <w:color w:val="auto"/>
                <w:sz w:val="24"/>
                <w:highlight w:val="none"/>
              </w:rPr>
              <w:t>11</w:t>
            </w:r>
          </w:p>
        </w:tc>
        <w:tc>
          <w:tcPr>
            <w:tcW w:w="864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993"/>
              </w:tabs>
              <w:snapToGrid w:val="0"/>
              <w:spacing w:line="560" w:lineRule="exact"/>
              <w:rPr>
                <w:rStyle w:val="209"/>
                <w:rFonts w:cs="Times New Roman"/>
                <w:color w:val="auto"/>
                <w:sz w:val="24"/>
                <w:highlight w:val="none"/>
              </w:rPr>
            </w:pPr>
            <w:r>
              <w:rPr>
                <w:rStyle w:val="209"/>
                <w:rFonts w:cs="Times New Roman"/>
                <w:color w:val="auto"/>
                <w:sz w:val="24"/>
                <w:highlight w:val="none"/>
              </w:rPr>
              <w:t>其他需要说明的情况，可自行添加</w:t>
            </w:r>
          </w:p>
        </w:tc>
      </w:tr>
    </w:tbl>
    <w:p>
      <w:pPr>
        <w:snapToGrid w:val="0"/>
        <w:spacing w:line="560" w:lineRule="exact"/>
        <w:ind w:left="1158" w:leftChars="1" w:hanging="1156"/>
        <w:jc w:val="left"/>
        <w:rPr>
          <w:rStyle w:val="209"/>
          <w:rFonts w:cs="Times New Roman"/>
          <w:color w:val="auto"/>
          <w:sz w:val="24"/>
          <w:highlight w:val="none"/>
        </w:rPr>
      </w:pPr>
      <w:r>
        <w:rPr>
          <w:rStyle w:val="209"/>
          <w:rFonts w:cs="Times New Roman"/>
          <w:color w:val="auto"/>
          <w:sz w:val="24"/>
          <w:highlight w:val="none"/>
        </w:rPr>
        <w:t xml:space="preserve">供应商：（盖章）             </w:t>
      </w:r>
    </w:p>
    <w:p>
      <w:pPr>
        <w:snapToGrid w:val="0"/>
        <w:spacing w:line="560" w:lineRule="exact"/>
        <w:ind w:left="1158" w:leftChars="1" w:hanging="1156"/>
        <w:jc w:val="left"/>
        <w:rPr>
          <w:rStyle w:val="209"/>
          <w:rFonts w:cs="Times New Roman"/>
          <w:color w:val="auto"/>
          <w:sz w:val="24"/>
          <w:highlight w:val="none"/>
        </w:rPr>
      </w:pPr>
      <w:r>
        <w:rPr>
          <w:rStyle w:val="209"/>
          <w:rFonts w:cs="Times New Roman"/>
          <w:color w:val="auto"/>
          <w:sz w:val="24"/>
          <w:highlight w:val="none"/>
        </w:rPr>
        <w:t>法定代表人或被委托受权人（签字）：</w:t>
      </w:r>
    </w:p>
    <w:p>
      <w:pPr>
        <w:snapToGrid w:val="0"/>
        <w:spacing w:line="560" w:lineRule="exact"/>
        <w:ind w:left="1158" w:leftChars="1" w:hanging="1156"/>
        <w:jc w:val="left"/>
        <w:rPr>
          <w:rStyle w:val="209"/>
          <w:rFonts w:cs="Times New Roman"/>
          <w:color w:val="auto"/>
          <w:sz w:val="24"/>
          <w:highlight w:val="none"/>
        </w:rPr>
      </w:pPr>
      <w:r>
        <w:rPr>
          <w:rStyle w:val="209"/>
          <w:rFonts w:cs="Times New Roman"/>
          <w:color w:val="auto"/>
          <w:sz w:val="24"/>
          <w:highlight w:val="none"/>
        </w:rPr>
        <w:t>日期：</w:t>
      </w:r>
    </w:p>
    <w:p>
      <w:pPr>
        <w:snapToGrid w:val="0"/>
        <w:spacing w:line="560" w:lineRule="exact"/>
        <w:ind w:left="1158" w:leftChars="1" w:hanging="1156"/>
        <w:jc w:val="center"/>
        <w:rPr>
          <w:rStyle w:val="209"/>
          <w:rFonts w:cs="Times New Roman"/>
          <w:color w:val="auto"/>
          <w:sz w:val="24"/>
          <w:highlight w:val="none"/>
        </w:rPr>
      </w:pPr>
    </w:p>
    <w:p>
      <w:pPr>
        <w:snapToGrid w:val="0"/>
        <w:spacing w:line="560" w:lineRule="exact"/>
        <w:ind w:left="1158" w:leftChars="1" w:hanging="1156"/>
        <w:jc w:val="center"/>
        <w:rPr>
          <w:rStyle w:val="209"/>
          <w:rFonts w:cs="Times New Roman"/>
          <w:color w:val="auto"/>
          <w:sz w:val="24"/>
          <w:highlight w:val="none"/>
        </w:rPr>
      </w:pPr>
      <w:r>
        <w:rPr>
          <w:rStyle w:val="209"/>
          <w:rFonts w:cs="Times New Roman"/>
          <w:color w:val="auto"/>
          <w:sz w:val="24"/>
          <w:highlight w:val="none"/>
        </w:rPr>
        <w:t>注：本表不是格式化表格，供应商可根据需要，自行添加删除。</w:t>
      </w:r>
    </w:p>
    <w:p>
      <w:pPr>
        <w:shd w:val="clear" w:color="auto" w:fill="FFFFFF"/>
        <w:snapToGrid w:val="0"/>
        <w:spacing w:before="312" w:beforeAutospacing="1" w:after="312" w:afterAutospacing="1" w:line="300" w:lineRule="auto"/>
        <w:jc w:val="center"/>
        <w:rPr>
          <w:rStyle w:val="32"/>
          <w:rFonts w:eastAsia="黑体" w:cs="Times New Roman"/>
          <w:b/>
          <w:bCs/>
          <w:color w:val="auto"/>
          <w:kern w:val="0"/>
          <w:sz w:val="36"/>
          <w:szCs w:val="36"/>
          <w:highlight w:val="none"/>
        </w:rPr>
      </w:pPr>
    </w:p>
    <w:p>
      <w:pPr>
        <w:snapToGrid w:val="0"/>
        <w:spacing w:line="360" w:lineRule="auto"/>
        <w:jc w:val="center"/>
        <w:rPr>
          <w:rStyle w:val="32"/>
          <w:rFonts w:cs="Times New Roman"/>
          <w:b/>
          <w:color w:val="auto"/>
          <w:sz w:val="36"/>
          <w:szCs w:val="36"/>
          <w:highlight w:val="none"/>
        </w:rPr>
      </w:pPr>
    </w:p>
    <w:p>
      <w:pPr>
        <w:snapToGrid w:val="0"/>
        <w:spacing w:line="360" w:lineRule="auto"/>
        <w:jc w:val="center"/>
        <w:rPr>
          <w:rStyle w:val="32"/>
          <w:rFonts w:cs="Times New Roman"/>
          <w:b/>
          <w:color w:val="auto"/>
          <w:sz w:val="36"/>
          <w:szCs w:val="36"/>
          <w:highlight w:val="none"/>
        </w:rPr>
      </w:pPr>
    </w:p>
    <w:p>
      <w:pPr>
        <w:snapToGrid w:val="0"/>
        <w:spacing w:before="360" w:after="120" w:line="420" w:lineRule="exact"/>
        <w:ind w:firstLine="2845" w:firstLineChars="1181"/>
        <w:rPr>
          <w:rStyle w:val="32"/>
          <w:rFonts w:eastAsia="仿宋_GB2312" w:cs="Times New Roman"/>
          <w:b/>
          <w:bCs/>
          <w:color w:val="auto"/>
          <w:sz w:val="24"/>
          <w:szCs w:val="24"/>
          <w:highlight w:val="none"/>
        </w:rPr>
      </w:pPr>
      <w:r>
        <w:rPr>
          <w:rStyle w:val="32"/>
          <w:rFonts w:eastAsia="仿宋_GB2312" w:cs="Times New Roman"/>
          <w:b/>
          <w:bCs/>
          <w:color w:val="auto"/>
          <w:sz w:val="24"/>
          <w:szCs w:val="24"/>
          <w:highlight w:val="none"/>
        </w:rPr>
        <w:t>四、无重大违法记录声明函</w:t>
      </w:r>
    </w:p>
    <w:p>
      <w:pPr>
        <w:snapToGrid w:val="0"/>
        <w:spacing w:before="360" w:after="120" w:line="420" w:lineRule="exact"/>
        <w:rPr>
          <w:rStyle w:val="32"/>
          <w:rFonts w:eastAsia="仿宋_GB2312" w:cs="Times New Roman"/>
          <w:b/>
          <w:bCs/>
          <w:color w:val="auto"/>
          <w:sz w:val="24"/>
          <w:szCs w:val="24"/>
          <w:highlight w:val="none"/>
        </w:rPr>
      </w:pPr>
      <w:r>
        <w:rPr>
          <w:rStyle w:val="32"/>
          <w:rFonts w:hint="eastAsia" w:eastAsia="仿宋_GB2312" w:cs="Times New Roman"/>
          <w:b/>
          <w:bCs/>
          <w:color w:val="auto"/>
          <w:sz w:val="24"/>
          <w:szCs w:val="24"/>
          <w:highlight w:val="none"/>
          <w:lang w:eastAsia="zh-CN"/>
        </w:rPr>
        <w:t>如皋市交通产业集团有限公司</w:t>
      </w:r>
      <w:r>
        <w:rPr>
          <w:rStyle w:val="32"/>
          <w:rFonts w:eastAsia="仿宋_GB2312" w:cs="Times New Roman"/>
          <w:color w:val="auto"/>
          <w:sz w:val="24"/>
          <w:szCs w:val="24"/>
          <w:highlight w:val="none"/>
        </w:rPr>
        <w:t>：</w:t>
      </w:r>
    </w:p>
    <w:p>
      <w:pPr>
        <w:snapToGrid w:val="0"/>
        <w:spacing w:line="420" w:lineRule="exact"/>
        <w:rPr>
          <w:rStyle w:val="32"/>
          <w:rFonts w:eastAsia="仿宋_GB2312" w:cs="Times New Roman"/>
          <w:color w:val="auto"/>
          <w:sz w:val="24"/>
          <w:szCs w:val="24"/>
          <w:highlight w:val="none"/>
        </w:rPr>
      </w:pPr>
      <w:r>
        <w:rPr>
          <w:rStyle w:val="32"/>
          <w:rFonts w:eastAsia="仿宋_GB2312" w:cs="Times New Roman"/>
          <w:color w:val="auto"/>
          <w:sz w:val="24"/>
          <w:szCs w:val="24"/>
          <w:highlight w:val="none"/>
        </w:rPr>
        <w:t xml:space="preserve">    我单位</w:t>
      </w:r>
      <w:r>
        <w:rPr>
          <w:rStyle w:val="32"/>
          <w:rFonts w:eastAsia="仿宋_GB2312" w:cs="Times New Roman"/>
          <w:color w:val="auto"/>
          <w:sz w:val="24"/>
          <w:szCs w:val="24"/>
          <w:highlight w:val="none"/>
          <w:u w:val="single" w:color="000000"/>
        </w:rPr>
        <w:t xml:space="preserve">               </w:t>
      </w:r>
      <w:r>
        <w:rPr>
          <w:rStyle w:val="32"/>
          <w:rFonts w:eastAsia="仿宋_GB2312" w:cs="Times New Roman"/>
          <w:color w:val="auto"/>
          <w:sz w:val="24"/>
          <w:szCs w:val="24"/>
          <w:highlight w:val="none"/>
        </w:rPr>
        <w:t>（供应商名称）郑重声明：</w:t>
      </w:r>
    </w:p>
    <w:p>
      <w:pPr>
        <w:snapToGrid w:val="0"/>
        <w:spacing w:line="420" w:lineRule="exact"/>
        <w:rPr>
          <w:rStyle w:val="32"/>
          <w:rFonts w:eastAsia="仿宋_GB2312" w:cs="Times New Roman"/>
          <w:color w:val="auto"/>
          <w:sz w:val="24"/>
          <w:szCs w:val="24"/>
          <w:highlight w:val="none"/>
        </w:rPr>
      </w:pPr>
      <w:r>
        <w:rPr>
          <w:rStyle w:val="32"/>
          <w:rFonts w:eastAsia="仿宋_GB2312" w:cs="Times New Roman"/>
          <w:color w:val="auto"/>
          <w:sz w:val="24"/>
          <w:szCs w:val="24"/>
          <w:highlight w:val="none"/>
        </w:rPr>
        <w:t xml:space="preserve">    参加本次采购活动前3年内在经营活动中</w:t>
      </w:r>
      <w:r>
        <w:rPr>
          <w:rStyle w:val="32"/>
          <w:rFonts w:eastAsia="仿宋_GB2312" w:cs="Times New Roman"/>
          <w:color w:val="auto"/>
          <w:sz w:val="24"/>
          <w:szCs w:val="24"/>
          <w:highlight w:val="none"/>
          <w:u w:val="single" w:color="000000"/>
        </w:rPr>
        <w:t xml:space="preserve">        </w:t>
      </w:r>
      <w:r>
        <w:rPr>
          <w:rStyle w:val="32"/>
          <w:rFonts w:eastAsia="仿宋_GB2312" w:cs="Times New Roman"/>
          <w:color w:val="auto"/>
          <w:sz w:val="24"/>
          <w:szCs w:val="24"/>
          <w:highlight w:val="none"/>
        </w:rPr>
        <w:t>（在下划线上如实填写：有或没有）重大违法记录。</w:t>
      </w:r>
    </w:p>
    <w:p>
      <w:pPr>
        <w:snapToGrid w:val="0"/>
        <w:spacing w:line="420" w:lineRule="exact"/>
        <w:ind w:firstLine="480"/>
        <w:rPr>
          <w:rStyle w:val="32"/>
          <w:rFonts w:eastAsia="仿宋_GB2312" w:cs="Times New Roman"/>
          <w:color w:val="auto"/>
          <w:sz w:val="24"/>
          <w:szCs w:val="24"/>
          <w:highlight w:val="none"/>
        </w:rPr>
      </w:pPr>
      <w:r>
        <w:rPr>
          <w:rStyle w:val="32"/>
          <w:rFonts w:eastAsia="仿宋_GB2312" w:cs="Times New Roman"/>
          <w:color w:val="auto"/>
          <w:sz w:val="24"/>
          <w:szCs w:val="24"/>
          <w:highlight w:val="none"/>
        </w:rPr>
        <w:t>（说明：所称重大违法记录，是指供应商因违法经营受到刑事处罚或者责令停产停业、吊销许可证或者执照、较大数额罚款等行政处罚。）</w:t>
      </w:r>
    </w:p>
    <w:p>
      <w:pPr>
        <w:snapToGrid w:val="0"/>
        <w:spacing w:line="420" w:lineRule="exact"/>
        <w:rPr>
          <w:rStyle w:val="32"/>
          <w:rFonts w:eastAsia="仿宋_GB2312" w:cs="Times New Roman"/>
          <w:color w:val="auto"/>
          <w:sz w:val="24"/>
          <w:szCs w:val="24"/>
          <w:highlight w:val="none"/>
        </w:rPr>
      </w:pPr>
      <w:r>
        <w:rPr>
          <w:rStyle w:val="32"/>
          <w:rFonts w:eastAsia="仿宋_GB2312" w:cs="Times New Roman"/>
          <w:color w:val="auto"/>
          <w:sz w:val="24"/>
          <w:szCs w:val="24"/>
          <w:highlight w:val="none"/>
        </w:rPr>
        <w:t xml:space="preserve">                                                        声明人：（公章）</w:t>
      </w:r>
    </w:p>
    <w:p>
      <w:pPr>
        <w:snapToGrid w:val="0"/>
        <w:spacing w:line="420" w:lineRule="exact"/>
        <w:jc w:val="right"/>
        <w:rPr>
          <w:rStyle w:val="32"/>
          <w:rFonts w:eastAsia="仿宋_GB2312" w:cs="Times New Roman"/>
          <w:color w:val="auto"/>
          <w:sz w:val="24"/>
          <w:szCs w:val="24"/>
          <w:highlight w:val="none"/>
        </w:rPr>
      </w:pPr>
      <w:r>
        <w:rPr>
          <w:rStyle w:val="32"/>
          <w:rFonts w:eastAsia="仿宋_GB2312" w:cs="Times New Roman"/>
          <w:color w:val="auto"/>
          <w:sz w:val="24"/>
          <w:szCs w:val="24"/>
          <w:highlight w:val="none"/>
        </w:rPr>
        <w:t xml:space="preserve">                                                   年     月    日</w:t>
      </w:r>
    </w:p>
    <w:p>
      <w:pPr>
        <w:snapToGrid w:val="0"/>
        <w:spacing w:line="300" w:lineRule="auto"/>
        <w:rPr>
          <w:rStyle w:val="32"/>
          <w:rFonts w:eastAsia="仿宋_GB2312" w:cs="Times New Roman"/>
          <w:color w:val="auto"/>
          <w:sz w:val="24"/>
          <w:szCs w:val="24"/>
          <w:highlight w:val="none"/>
        </w:rPr>
      </w:pPr>
      <w:r>
        <w:rPr>
          <w:rStyle w:val="32"/>
          <w:rFonts w:eastAsia="仿宋_GB2312" w:cs="Times New Roman"/>
          <w:color w:val="auto"/>
          <w:sz w:val="24"/>
          <w:szCs w:val="24"/>
          <w:highlight w:val="none"/>
        </w:rPr>
        <w:br w:type="textWrapping"/>
      </w:r>
    </w:p>
    <w:p>
      <w:pPr>
        <w:snapToGrid w:val="0"/>
        <w:spacing w:line="300" w:lineRule="auto"/>
        <w:rPr>
          <w:rStyle w:val="32"/>
          <w:rFonts w:cs="Times New Roman"/>
          <w:b/>
          <w:color w:val="auto"/>
          <w:sz w:val="20"/>
          <w:highlight w:val="none"/>
        </w:rPr>
      </w:pPr>
    </w:p>
    <w:p>
      <w:pPr>
        <w:snapToGrid w:val="0"/>
        <w:spacing w:line="300" w:lineRule="auto"/>
        <w:rPr>
          <w:rStyle w:val="32"/>
          <w:rFonts w:cs="Times New Roman"/>
          <w:b/>
          <w:color w:val="auto"/>
          <w:sz w:val="20"/>
          <w:highlight w:val="none"/>
        </w:rPr>
      </w:pPr>
    </w:p>
    <w:p>
      <w:pPr>
        <w:snapToGrid w:val="0"/>
        <w:spacing w:line="520" w:lineRule="exact"/>
        <w:jc w:val="center"/>
        <w:rPr>
          <w:rStyle w:val="32"/>
          <w:rFonts w:cs="Times New Roman"/>
          <w:b/>
          <w:color w:val="auto"/>
          <w:sz w:val="36"/>
          <w:szCs w:val="36"/>
          <w:highlight w:val="none"/>
        </w:rPr>
      </w:pPr>
      <w:r>
        <w:rPr>
          <w:rStyle w:val="32"/>
          <w:rFonts w:cs="Times New Roman"/>
          <w:b/>
          <w:color w:val="auto"/>
          <w:sz w:val="36"/>
          <w:szCs w:val="36"/>
          <w:highlight w:val="none"/>
        </w:rPr>
        <w:br w:type="page"/>
      </w:r>
      <w:r>
        <w:rPr>
          <w:rStyle w:val="32"/>
          <w:rFonts w:cs="Times New Roman"/>
          <w:b/>
          <w:color w:val="auto"/>
          <w:sz w:val="36"/>
          <w:szCs w:val="36"/>
          <w:highlight w:val="none"/>
        </w:rPr>
        <w:t>五、关于资格的声明函</w:t>
      </w:r>
    </w:p>
    <w:p>
      <w:pPr>
        <w:snapToGrid w:val="0"/>
        <w:spacing w:line="360" w:lineRule="auto"/>
        <w:jc w:val="center"/>
        <w:rPr>
          <w:rStyle w:val="32"/>
          <w:rFonts w:cs="Times New Roman"/>
          <w:b/>
          <w:color w:val="auto"/>
          <w:sz w:val="20"/>
          <w:highlight w:val="none"/>
        </w:rPr>
      </w:pPr>
    </w:p>
    <w:p>
      <w:pPr>
        <w:snapToGrid w:val="0"/>
        <w:spacing w:line="300" w:lineRule="auto"/>
        <w:rPr>
          <w:rStyle w:val="32"/>
          <w:rFonts w:eastAsia="仿宋_GB2312" w:cs="Times New Roman"/>
          <w:b/>
          <w:color w:val="auto"/>
          <w:sz w:val="28"/>
          <w:szCs w:val="28"/>
          <w:highlight w:val="none"/>
          <w:u w:val="single"/>
        </w:rPr>
      </w:pPr>
      <w:r>
        <w:rPr>
          <w:rStyle w:val="32"/>
          <w:rFonts w:eastAsia="仿宋_GB2312" w:cs="Times New Roman"/>
          <w:b/>
          <w:color w:val="auto"/>
          <w:sz w:val="28"/>
          <w:szCs w:val="28"/>
          <w:highlight w:val="none"/>
          <w:u w:val="single" w:color="000000"/>
        </w:rPr>
        <w:t>（招标人名称）：</w:t>
      </w:r>
    </w:p>
    <w:p>
      <w:pPr>
        <w:snapToGrid w:val="0"/>
        <w:spacing w:line="300" w:lineRule="auto"/>
        <w:ind w:firstLine="560" w:firstLineChars="200"/>
        <w:rPr>
          <w:rStyle w:val="32"/>
          <w:rFonts w:eastAsia="仿宋_GB2312" w:cs="Times New Roman"/>
          <w:color w:val="auto"/>
          <w:sz w:val="28"/>
          <w:szCs w:val="28"/>
          <w:highlight w:val="none"/>
        </w:rPr>
      </w:pPr>
      <w:r>
        <w:rPr>
          <w:rStyle w:val="32"/>
          <w:rFonts w:eastAsia="仿宋_GB2312" w:cs="Times New Roman"/>
          <w:color w:val="auto"/>
          <w:sz w:val="28"/>
          <w:szCs w:val="28"/>
          <w:highlight w:val="none"/>
        </w:rPr>
        <w:t>我公司认真对照招标公告，符合贵方提出的资格要求，自愿报名参加投标，并保证提供的资料文件是准确的和真实的。提供虚假材料的愿意承担相应的法律责任。</w:t>
      </w:r>
    </w:p>
    <w:p>
      <w:pPr>
        <w:snapToGrid w:val="0"/>
        <w:spacing w:line="300" w:lineRule="auto"/>
        <w:ind w:firstLine="280" w:firstLineChars="100"/>
        <w:jc w:val="left"/>
        <w:rPr>
          <w:rStyle w:val="32"/>
          <w:rFonts w:eastAsia="仿宋_GB2312" w:cs="Times New Roman"/>
          <w:color w:val="auto"/>
          <w:sz w:val="28"/>
          <w:szCs w:val="28"/>
          <w:highlight w:val="none"/>
        </w:rPr>
      </w:pPr>
      <w:r>
        <w:rPr>
          <w:rStyle w:val="32"/>
          <w:rFonts w:eastAsia="仿宋_GB2312" w:cs="Times New Roman"/>
          <w:color w:val="auto"/>
          <w:sz w:val="28"/>
          <w:szCs w:val="28"/>
          <w:highlight w:val="none"/>
        </w:rPr>
        <w:t xml:space="preserve">   附：公司投标之前3年内有无受各级管理部门的处分或处罚（含其授权服务的子公司、分公司等），如果不主动填报而被事后发现的，将取消其投标资格，并按有关规定从重处理；没有受处罚的投标人，要填写“没有受到任何处罚”，此表不能空白。</w:t>
      </w:r>
    </w:p>
    <w:p>
      <w:pPr>
        <w:snapToGrid w:val="0"/>
        <w:spacing w:line="300" w:lineRule="auto"/>
        <w:ind w:firstLine="420"/>
        <w:rPr>
          <w:rStyle w:val="32"/>
          <w:rFonts w:eastAsia="仿宋_GB2312" w:cs="Times New Roman"/>
          <w:color w:val="auto"/>
          <w:sz w:val="28"/>
          <w:szCs w:val="28"/>
          <w:highlight w:val="none"/>
        </w:rPr>
      </w:pPr>
    </w:p>
    <w:tbl>
      <w:tblPr>
        <w:tblStyle w:val="13"/>
        <w:tblW w:w="847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2"/>
        <w:gridCol w:w="2977"/>
        <w:gridCol w:w="2977"/>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6"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auto"/>
              <w:jc w:val="center"/>
              <w:rPr>
                <w:rStyle w:val="32"/>
                <w:rFonts w:eastAsia="仿宋_GB2312" w:cs="Times New Roman"/>
                <w:b/>
                <w:color w:val="auto"/>
                <w:sz w:val="28"/>
                <w:szCs w:val="28"/>
                <w:highlight w:val="none"/>
              </w:rPr>
            </w:pPr>
            <w:r>
              <w:rPr>
                <w:rStyle w:val="32"/>
                <w:rFonts w:eastAsia="仿宋_GB2312" w:cs="Times New Roman"/>
                <w:b/>
                <w:color w:val="auto"/>
                <w:sz w:val="28"/>
                <w:szCs w:val="28"/>
                <w:highlight w:val="none"/>
              </w:rPr>
              <w:t>时 间</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auto"/>
              <w:jc w:val="center"/>
              <w:rPr>
                <w:rStyle w:val="32"/>
                <w:rFonts w:eastAsia="仿宋_GB2312" w:cs="Times New Roman"/>
                <w:b/>
                <w:color w:val="auto"/>
                <w:sz w:val="28"/>
                <w:szCs w:val="28"/>
                <w:highlight w:val="none"/>
              </w:rPr>
            </w:pPr>
            <w:r>
              <w:rPr>
                <w:rStyle w:val="32"/>
                <w:rFonts w:eastAsia="仿宋_GB2312" w:cs="Times New Roman"/>
                <w:b/>
                <w:color w:val="auto"/>
                <w:sz w:val="28"/>
                <w:szCs w:val="28"/>
                <w:highlight w:val="none"/>
              </w:rPr>
              <w:t>受处理的原因</w:t>
            </w:r>
          </w:p>
          <w:p>
            <w:pPr>
              <w:snapToGrid w:val="0"/>
              <w:spacing w:line="300" w:lineRule="auto"/>
              <w:jc w:val="center"/>
              <w:rPr>
                <w:rStyle w:val="32"/>
                <w:rFonts w:eastAsia="仿宋_GB2312" w:cs="Times New Roman"/>
                <w:color w:val="auto"/>
                <w:sz w:val="28"/>
                <w:szCs w:val="28"/>
                <w:highlight w:val="none"/>
              </w:rPr>
            </w:pPr>
            <w:r>
              <w:rPr>
                <w:rStyle w:val="32"/>
                <w:rFonts w:eastAsia="仿宋_GB2312" w:cs="Times New Roman"/>
                <w:color w:val="auto"/>
                <w:sz w:val="28"/>
                <w:szCs w:val="28"/>
                <w:highlight w:val="none"/>
              </w:rPr>
              <w:t>（如在采购活动中受处理的，注明采购项目名称及处理原因）</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auto"/>
              <w:jc w:val="center"/>
              <w:rPr>
                <w:rStyle w:val="32"/>
                <w:rFonts w:eastAsia="仿宋_GB2312" w:cs="Times New Roman"/>
                <w:b/>
                <w:color w:val="auto"/>
                <w:sz w:val="28"/>
                <w:szCs w:val="28"/>
                <w:highlight w:val="none"/>
              </w:rPr>
            </w:pPr>
            <w:r>
              <w:rPr>
                <w:rStyle w:val="32"/>
                <w:rFonts w:eastAsia="仿宋_GB2312" w:cs="Times New Roman"/>
                <w:b/>
                <w:color w:val="auto"/>
                <w:sz w:val="28"/>
                <w:szCs w:val="28"/>
                <w:highlight w:val="none"/>
              </w:rPr>
              <w:t>处理的内容</w:t>
            </w:r>
          </w:p>
          <w:p>
            <w:pPr>
              <w:snapToGrid w:val="0"/>
              <w:spacing w:line="300" w:lineRule="auto"/>
              <w:jc w:val="center"/>
              <w:rPr>
                <w:rStyle w:val="32"/>
                <w:rFonts w:eastAsia="仿宋_GB2312" w:cs="Times New Roman"/>
                <w:color w:val="auto"/>
                <w:sz w:val="28"/>
                <w:szCs w:val="28"/>
                <w:highlight w:val="none"/>
              </w:rPr>
            </w:pPr>
            <w:r>
              <w:rPr>
                <w:rStyle w:val="32"/>
                <w:rFonts w:eastAsia="仿宋_GB2312" w:cs="Times New Roman"/>
                <w:color w:val="auto"/>
                <w:sz w:val="28"/>
                <w:szCs w:val="28"/>
                <w:highlight w:val="none"/>
              </w:rPr>
              <w:t>（如受到禁止一段时期参加某种项目的采购活动的，要说明解禁时间）</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auto"/>
              <w:jc w:val="center"/>
              <w:rPr>
                <w:rStyle w:val="32"/>
                <w:rFonts w:eastAsia="仿宋_GB2312" w:cs="Times New Roman"/>
                <w:b/>
                <w:color w:val="auto"/>
                <w:sz w:val="28"/>
                <w:szCs w:val="28"/>
                <w:highlight w:val="none"/>
              </w:rPr>
            </w:pPr>
            <w:r>
              <w:rPr>
                <w:rStyle w:val="32"/>
                <w:rFonts w:eastAsia="仿宋_GB2312" w:cs="Times New Roman"/>
                <w:b/>
                <w:color w:val="auto"/>
                <w:sz w:val="28"/>
                <w:szCs w:val="28"/>
                <w:highlight w:val="none"/>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9" w:hRule="atLeast"/>
        </w:trPr>
        <w:tc>
          <w:tcPr>
            <w:tcW w:w="1242" w:type="dxa"/>
            <w:tcBorders>
              <w:top w:val="single" w:color="000000" w:sz="4" w:space="0"/>
              <w:left w:val="single" w:color="000000" w:sz="4" w:space="0"/>
              <w:bottom w:val="single" w:color="000000" w:sz="4" w:space="0"/>
              <w:right w:val="single" w:color="000000" w:sz="4" w:space="0"/>
            </w:tcBorders>
          </w:tcPr>
          <w:p>
            <w:pPr>
              <w:snapToGrid w:val="0"/>
              <w:spacing w:line="300" w:lineRule="auto"/>
              <w:rPr>
                <w:rStyle w:val="32"/>
                <w:rFonts w:eastAsia="仿宋_GB2312" w:cs="Times New Roman"/>
                <w:color w:val="auto"/>
                <w:sz w:val="28"/>
                <w:szCs w:val="28"/>
                <w:highlight w:val="none"/>
              </w:rPr>
            </w:pPr>
          </w:p>
        </w:tc>
        <w:tc>
          <w:tcPr>
            <w:tcW w:w="2977" w:type="dxa"/>
            <w:tcBorders>
              <w:top w:val="single" w:color="000000" w:sz="4" w:space="0"/>
              <w:left w:val="single" w:color="000000" w:sz="4" w:space="0"/>
              <w:bottom w:val="single" w:color="000000" w:sz="4" w:space="0"/>
              <w:right w:val="single" w:color="000000" w:sz="4" w:space="0"/>
            </w:tcBorders>
          </w:tcPr>
          <w:p>
            <w:pPr>
              <w:snapToGrid w:val="0"/>
              <w:spacing w:line="300" w:lineRule="auto"/>
              <w:rPr>
                <w:rStyle w:val="32"/>
                <w:rFonts w:eastAsia="仿宋_GB2312" w:cs="Times New Roman"/>
                <w:color w:val="auto"/>
                <w:sz w:val="28"/>
                <w:szCs w:val="28"/>
                <w:highlight w:val="none"/>
              </w:rPr>
            </w:pPr>
          </w:p>
        </w:tc>
        <w:tc>
          <w:tcPr>
            <w:tcW w:w="2977" w:type="dxa"/>
            <w:tcBorders>
              <w:top w:val="single" w:color="000000" w:sz="4" w:space="0"/>
              <w:left w:val="single" w:color="000000" w:sz="4" w:space="0"/>
              <w:bottom w:val="single" w:color="000000" w:sz="4" w:space="0"/>
              <w:right w:val="single" w:color="000000" w:sz="4" w:space="0"/>
            </w:tcBorders>
          </w:tcPr>
          <w:p>
            <w:pPr>
              <w:snapToGrid w:val="0"/>
              <w:spacing w:line="300" w:lineRule="auto"/>
              <w:rPr>
                <w:rStyle w:val="32"/>
                <w:rFonts w:eastAsia="仿宋_GB2312" w:cs="Times New Roman"/>
                <w:color w:val="auto"/>
                <w:sz w:val="28"/>
                <w:szCs w:val="28"/>
                <w:highlight w:val="none"/>
              </w:rPr>
            </w:pPr>
          </w:p>
        </w:tc>
        <w:tc>
          <w:tcPr>
            <w:tcW w:w="1276" w:type="dxa"/>
            <w:tcBorders>
              <w:top w:val="single" w:color="000000" w:sz="4" w:space="0"/>
              <w:left w:val="single" w:color="000000" w:sz="4" w:space="0"/>
              <w:bottom w:val="single" w:color="000000" w:sz="4" w:space="0"/>
              <w:right w:val="single" w:color="000000" w:sz="4" w:space="0"/>
            </w:tcBorders>
          </w:tcPr>
          <w:p>
            <w:pPr>
              <w:snapToGrid w:val="0"/>
              <w:spacing w:line="300" w:lineRule="auto"/>
              <w:rPr>
                <w:rStyle w:val="32"/>
                <w:rFonts w:eastAsia="仿宋_GB2312" w:cs="Times New Roman"/>
                <w:color w:val="auto"/>
                <w:sz w:val="28"/>
                <w:szCs w:val="28"/>
                <w:highlight w:val="none"/>
              </w:rPr>
            </w:pPr>
          </w:p>
        </w:tc>
      </w:tr>
    </w:tbl>
    <w:p>
      <w:pPr>
        <w:snapToGrid w:val="0"/>
        <w:rPr>
          <w:rStyle w:val="32"/>
          <w:rFonts w:cs="Times New Roman"/>
          <w:color w:val="auto"/>
          <w:sz w:val="20"/>
          <w:szCs w:val="24"/>
          <w:highlight w:val="none"/>
        </w:rPr>
      </w:pPr>
    </w:p>
    <w:p>
      <w:pPr>
        <w:snapToGrid w:val="0"/>
        <w:spacing w:line="360" w:lineRule="auto"/>
        <w:ind w:firstLine="400" w:firstLineChars="200"/>
        <w:jc w:val="left"/>
        <w:rPr>
          <w:rStyle w:val="32"/>
          <w:rFonts w:cs="Times New Roman"/>
          <w:color w:val="auto"/>
          <w:kern w:val="0"/>
          <w:sz w:val="20"/>
          <w:highlight w:val="none"/>
        </w:rPr>
      </w:pPr>
    </w:p>
    <w:p>
      <w:pPr>
        <w:pStyle w:val="21"/>
        <w:snapToGrid w:val="0"/>
        <w:rPr>
          <w:rStyle w:val="32"/>
          <w:rFonts w:ascii="Times New Roman" w:hAnsi="Times New Roman" w:cs="Times New Roman"/>
          <w:color w:val="auto"/>
          <w:kern w:val="0"/>
          <w:highlight w:val="none"/>
        </w:rPr>
      </w:pPr>
    </w:p>
    <w:p>
      <w:pPr>
        <w:snapToGrid w:val="0"/>
        <w:rPr>
          <w:rStyle w:val="32"/>
          <w:rFonts w:cs="Times New Roman"/>
          <w:color w:val="auto"/>
          <w:kern w:val="0"/>
          <w:sz w:val="20"/>
          <w:highlight w:val="none"/>
        </w:rPr>
      </w:pPr>
    </w:p>
    <w:p>
      <w:pPr>
        <w:pStyle w:val="21"/>
        <w:snapToGrid w:val="0"/>
        <w:rPr>
          <w:rStyle w:val="32"/>
          <w:rFonts w:ascii="Times New Roman" w:hAnsi="Times New Roman" w:cs="Times New Roman"/>
          <w:color w:val="auto"/>
          <w:kern w:val="0"/>
          <w:highlight w:val="none"/>
        </w:rPr>
      </w:pPr>
    </w:p>
    <w:p>
      <w:pPr>
        <w:snapToGrid w:val="0"/>
        <w:jc w:val="center"/>
        <w:rPr>
          <w:rStyle w:val="32"/>
          <w:rFonts w:cs="Times New Roman"/>
          <w:b/>
          <w:bCs/>
          <w:color w:val="auto"/>
          <w:kern w:val="0"/>
          <w:sz w:val="44"/>
          <w:szCs w:val="44"/>
          <w:highlight w:val="none"/>
        </w:rPr>
      </w:pPr>
      <w:r>
        <w:rPr>
          <w:rStyle w:val="32"/>
          <w:rFonts w:cs="Times New Roman"/>
          <w:b/>
          <w:bCs/>
          <w:color w:val="auto"/>
          <w:kern w:val="0"/>
          <w:sz w:val="44"/>
          <w:szCs w:val="44"/>
          <w:highlight w:val="none"/>
        </w:rPr>
        <w:br w:type="page"/>
      </w:r>
      <w:r>
        <w:rPr>
          <w:rStyle w:val="32"/>
          <w:rFonts w:cs="Times New Roman"/>
          <w:b/>
          <w:bCs/>
          <w:color w:val="auto"/>
          <w:kern w:val="0"/>
          <w:sz w:val="44"/>
          <w:szCs w:val="44"/>
          <w:highlight w:val="none"/>
        </w:rPr>
        <w:t>承诺书</w:t>
      </w:r>
    </w:p>
    <w:p>
      <w:pPr>
        <w:snapToGrid w:val="0"/>
        <w:spacing w:line="560" w:lineRule="exact"/>
        <w:jc w:val="left"/>
        <w:rPr>
          <w:rStyle w:val="32"/>
          <w:rFonts w:cs="Times New Roman"/>
          <w:color w:val="auto"/>
          <w:kern w:val="0"/>
          <w:sz w:val="24"/>
          <w:szCs w:val="24"/>
          <w:highlight w:val="none"/>
        </w:rPr>
      </w:pPr>
      <w:r>
        <w:rPr>
          <w:rStyle w:val="32"/>
          <w:rFonts w:cs="Times New Roman"/>
          <w:color w:val="auto"/>
          <w:kern w:val="0"/>
          <w:sz w:val="24"/>
          <w:szCs w:val="24"/>
          <w:highlight w:val="none"/>
        </w:rPr>
        <w:t>致：</w:t>
      </w:r>
      <w:r>
        <w:rPr>
          <w:rStyle w:val="32"/>
          <w:rFonts w:cs="Times New Roman"/>
          <w:color w:val="auto"/>
          <w:kern w:val="0"/>
          <w:sz w:val="24"/>
          <w:szCs w:val="24"/>
          <w:highlight w:val="none"/>
          <w:u w:val="single" w:color="000000"/>
        </w:rPr>
        <w:t xml:space="preserve">           （招标人）</w:t>
      </w:r>
    </w:p>
    <w:p>
      <w:pPr>
        <w:snapToGrid w:val="0"/>
        <w:spacing w:line="560" w:lineRule="exact"/>
        <w:ind w:firstLine="470" w:firstLineChars="196"/>
        <w:jc w:val="left"/>
        <w:rPr>
          <w:rStyle w:val="32"/>
          <w:rFonts w:cs="Times New Roman"/>
          <w:color w:val="auto"/>
          <w:kern w:val="0"/>
          <w:sz w:val="24"/>
          <w:szCs w:val="24"/>
          <w:highlight w:val="none"/>
        </w:rPr>
      </w:pPr>
      <w:r>
        <w:rPr>
          <w:rStyle w:val="32"/>
          <w:rFonts w:cs="Times New Roman"/>
          <w:color w:val="auto"/>
          <w:kern w:val="0"/>
          <w:sz w:val="24"/>
          <w:szCs w:val="24"/>
          <w:highlight w:val="none"/>
        </w:rPr>
        <w:t>我方郑重承诺：遵循公开、公平、公正和诚实守信的原则，参加本次开标会议，是我方真实意思的表达。</w:t>
      </w:r>
    </w:p>
    <w:p>
      <w:pPr>
        <w:snapToGrid w:val="0"/>
        <w:spacing w:line="560" w:lineRule="exact"/>
        <w:ind w:firstLine="470" w:firstLineChars="196"/>
        <w:jc w:val="left"/>
        <w:rPr>
          <w:rStyle w:val="32"/>
          <w:rFonts w:cs="Times New Roman"/>
          <w:color w:val="auto"/>
          <w:kern w:val="0"/>
          <w:sz w:val="24"/>
          <w:szCs w:val="24"/>
          <w:highlight w:val="none"/>
        </w:rPr>
      </w:pPr>
      <w:r>
        <w:rPr>
          <w:rStyle w:val="32"/>
          <w:rFonts w:cs="Times New Roman"/>
          <w:color w:val="auto"/>
          <w:kern w:val="0"/>
          <w:sz w:val="24"/>
          <w:szCs w:val="24"/>
          <w:highlight w:val="none"/>
        </w:rPr>
        <w:t>一、不出借、买卖、伪造、涂改企业和从业人员的资质证书、营业执照、资格业绩、印章以及其他相关资信证明文件，严禁其他企业或个人以我公司的名义投标。</w:t>
      </w:r>
    </w:p>
    <w:p>
      <w:pPr>
        <w:snapToGrid w:val="0"/>
        <w:spacing w:line="560" w:lineRule="exact"/>
        <w:ind w:firstLine="470" w:firstLineChars="196"/>
        <w:jc w:val="left"/>
        <w:rPr>
          <w:rStyle w:val="32"/>
          <w:rFonts w:cs="Times New Roman"/>
          <w:color w:val="auto"/>
          <w:kern w:val="0"/>
          <w:sz w:val="24"/>
          <w:szCs w:val="24"/>
          <w:highlight w:val="none"/>
        </w:rPr>
      </w:pPr>
      <w:r>
        <w:rPr>
          <w:rStyle w:val="32"/>
          <w:rFonts w:cs="Times New Roman"/>
          <w:color w:val="auto"/>
          <w:kern w:val="0"/>
          <w:sz w:val="24"/>
          <w:szCs w:val="24"/>
          <w:highlight w:val="none"/>
        </w:rPr>
        <w:t>二、严格遵守法律、法规和招标文件规定的投标程序。不隐瞒真实情况，不弄虚作假，不骗取投标和中标资格。</w:t>
      </w:r>
    </w:p>
    <w:p>
      <w:pPr>
        <w:snapToGrid w:val="0"/>
        <w:spacing w:line="560" w:lineRule="exact"/>
        <w:ind w:firstLine="470" w:firstLineChars="196"/>
        <w:jc w:val="left"/>
        <w:rPr>
          <w:rStyle w:val="32"/>
          <w:rFonts w:cs="Times New Roman"/>
          <w:color w:val="auto"/>
          <w:kern w:val="0"/>
          <w:sz w:val="24"/>
          <w:szCs w:val="24"/>
          <w:highlight w:val="none"/>
        </w:rPr>
      </w:pPr>
      <w:r>
        <w:rPr>
          <w:rStyle w:val="32"/>
          <w:rFonts w:cs="Times New Roman"/>
          <w:color w:val="auto"/>
          <w:kern w:val="0"/>
          <w:sz w:val="24"/>
          <w:szCs w:val="24"/>
          <w:highlight w:val="none"/>
        </w:rPr>
        <w:t>三、坚决抵制和杜绝串标、围标、哄抬报价、贿赂、回扣等违法投标和不正当竞争行为。</w:t>
      </w:r>
    </w:p>
    <w:p>
      <w:pPr>
        <w:snapToGrid w:val="0"/>
        <w:spacing w:line="560" w:lineRule="exact"/>
        <w:ind w:firstLine="470" w:firstLineChars="196"/>
        <w:jc w:val="left"/>
        <w:rPr>
          <w:rStyle w:val="32"/>
          <w:rFonts w:cs="Times New Roman"/>
          <w:color w:val="auto"/>
          <w:kern w:val="0"/>
          <w:sz w:val="24"/>
          <w:szCs w:val="24"/>
          <w:highlight w:val="none"/>
        </w:rPr>
      </w:pPr>
      <w:r>
        <w:rPr>
          <w:rStyle w:val="32"/>
          <w:rFonts w:cs="Times New Roman"/>
          <w:color w:val="auto"/>
          <w:kern w:val="0"/>
          <w:sz w:val="24"/>
          <w:szCs w:val="24"/>
          <w:highlight w:val="none"/>
        </w:rPr>
        <w:t>四、依法经营，公平竞争，不采取违法、违规或不正当手段损害、侵犯同行企业的正当权益。</w:t>
      </w:r>
    </w:p>
    <w:p>
      <w:pPr>
        <w:snapToGrid w:val="0"/>
        <w:spacing w:line="560" w:lineRule="exact"/>
        <w:ind w:firstLine="470" w:firstLineChars="196"/>
        <w:jc w:val="left"/>
        <w:rPr>
          <w:rStyle w:val="32"/>
          <w:rFonts w:cs="Times New Roman"/>
          <w:color w:val="auto"/>
          <w:kern w:val="0"/>
          <w:sz w:val="24"/>
          <w:szCs w:val="24"/>
          <w:highlight w:val="none"/>
        </w:rPr>
      </w:pPr>
      <w:r>
        <w:rPr>
          <w:rStyle w:val="32"/>
          <w:rFonts w:cs="Times New Roman"/>
          <w:color w:val="auto"/>
          <w:kern w:val="0"/>
          <w:sz w:val="24"/>
          <w:szCs w:val="24"/>
          <w:highlight w:val="none"/>
        </w:rPr>
        <w:t>五、我单位提供的所有材料均为真实有效的。</w:t>
      </w:r>
    </w:p>
    <w:p>
      <w:pPr>
        <w:snapToGrid w:val="0"/>
        <w:spacing w:line="560" w:lineRule="exact"/>
        <w:ind w:firstLine="470" w:firstLineChars="196"/>
        <w:jc w:val="left"/>
        <w:rPr>
          <w:rStyle w:val="32"/>
          <w:rFonts w:cs="Times New Roman"/>
          <w:color w:val="auto"/>
          <w:kern w:val="0"/>
          <w:sz w:val="24"/>
          <w:szCs w:val="24"/>
          <w:highlight w:val="none"/>
        </w:rPr>
      </w:pPr>
      <w:r>
        <w:rPr>
          <w:rStyle w:val="32"/>
          <w:rFonts w:cs="Times New Roman"/>
          <w:color w:val="auto"/>
          <w:kern w:val="0"/>
          <w:sz w:val="24"/>
          <w:szCs w:val="24"/>
          <w:highlight w:val="none"/>
        </w:rPr>
        <w:t>六、如我方中标：</w:t>
      </w:r>
    </w:p>
    <w:p>
      <w:pPr>
        <w:snapToGrid w:val="0"/>
        <w:spacing w:line="560" w:lineRule="exact"/>
        <w:ind w:firstLine="470" w:firstLineChars="196"/>
        <w:jc w:val="left"/>
        <w:rPr>
          <w:rStyle w:val="32"/>
          <w:rFonts w:cs="Times New Roman"/>
          <w:color w:val="auto"/>
          <w:kern w:val="0"/>
          <w:sz w:val="24"/>
          <w:szCs w:val="24"/>
          <w:highlight w:val="none"/>
        </w:rPr>
      </w:pPr>
      <w:r>
        <w:rPr>
          <w:rStyle w:val="32"/>
          <w:rFonts w:cs="Times New Roman"/>
          <w:color w:val="auto"/>
          <w:kern w:val="0"/>
          <w:sz w:val="24"/>
          <w:szCs w:val="24"/>
          <w:highlight w:val="none"/>
        </w:rPr>
        <w:t>（1）我方在中标结果公告之日起三日内领取中标通知书，收到中标通知书后，在招标文件规定的期限内与你方签订合同。</w:t>
      </w:r>
    </w:p>
    <w:p>
      <w:pPr>
        <w:snapToGrid w:val="0"/>
        <w:spacing w:line="560" w:lineRule="exact"/>
        <w:ind w:firstLine="470" w:firstLineChars="196"/>
        <w:jc w:val="left"/>
        <w:rPr>
          <w:rStyle w:val="32"/>
          <w:rFonts w:cs="Times New Roman"/>
          <w:color w:val="auto"/>
          <w:kern w:val="0"/>
          <w:sz w:val="24"/>
          <w:szCs w:val="24"/>
          <w:highlight w:val="none"/>
        </w:rPr>
      </w:pPr>
      <w:r>
        <w:rPr>
          <w:rStyle w:val="32"/>
          <w:rFonts w:cs="Times New Roman"/>
          <w:color w:val="auto"/>
          <w:kern w:val="0"/>
          <w:sz w:val="24"/>
          <w:szCs w:val="24"/>
          <w:highlight w:val="none"/>
        </w:rPr>
        <w:t>（2）我方承诺按照招标文件规定向你方递交履约担保。</w:t>
      </w:r>
    </w:p>
    <w:p>
      <w:pPr>
        <w:snapToGrid w:val="0"/>
        <w:spacing w:line="560" w:lineRule="exact"/>
        <w:ind w:firstLine="470" w:firstLineChars="196"/>
        <w:jc w:val="left"/>
        <w:rPr>
          <w:rStyle w:val="32"/>
          <w:rFonts w:cs="Times New Roman"/>
          <w:color w:val="auto"/>
          <w:kern w:val="0"/>
          <w:sz w:val="24"/>
          <w:szCs w:val="24"/>
          <w:highlight w:val="none"/>
        </w:rPr>
      </w:pPr>
      <w:r>
        <w:rPr>
          <w:rStyle w:val="32"/>
          <w:rFonts w:cs="Times New Roman"/>
          <w:color w:val="auto"/>
          <w:kern w:val="0"/>
          <w:sz w:val="24"/>
          <w:szCs w:val="24"/>
          <w:highlight w:val="none"/>
        </w:rPr>
        <w:t>我方若有违反承诺内容的行为，自愿接受取消招投标资格、将不良行为记录记入档案，并列入如皋市黑名单1-3年等有关处理，并承担相应的法律责任。给招标人造成损失的，依法承担赔偿责任。</w:t>
      </w:r>
    </w:p>
    <w:p>
      <w:pPr>
        <w:snapToGrid w:val="0"/>
        <w:spacing w:line="560" w:lineRule="exact"/>
        <w:ind w:firstLine="470" w:firstLineChars="196"/>
        <w:jc w:val="left"/>
        <w:rPr>
          <w:rStyle w:val="32"/>
          <w:rFonts w:cs="Times New Roman"/>
          <w:color w:val="auto"/>
          <w:kern w:val="0"/>
          <w:sz w:val="24"/>
          <w:szCs w:val="24"/>
          <w:highlight w:val="none"/>
        </w:rPr>
      </w:pPr>
      <w:r>
        <w:rPr>
          <w:rStyle w:val="32"/>
          <w:rFonts w:cs="Times New Roman"/>
          <w:color w:val="auto"/>
          <w:kern w:val="0"/>
          <w:sz w:val="24"/>
          <w:szCs w:val="24"/>
          <w:highlight w:val="none"/>
        </w:rPr>
        <w:t>承 诺 单 位（盖章）：</w:t>
      </w:r>
    </w:p>
    <w:p>
      <w:pPr>
        <w:snapToGrid w:val="0"/>
        <w:spacing w:line="560" w:lineRule="exact"/>
        <w:ind w:firstLine="470" w:firstLineChars="196"/>
        <w:jc w:val="left"/>
        <w:rPr>
          <w:rStyle w:val="32"/>
          <w:rFonts w:cs="Times New Roman"/>
          <w:color w:val="auto"/>
          <w:kern w:val="0"/>
          <w:sz w:val="24"/>
          <w:szCs w:val="24"/>
          <w:highlight w:val="none"/>
        </w:rPr>
      </w:pPr>
      <w:r>
        <w:rPr>
          <w:rStyle w:val="32"/>
          <w:rFonts w:cs="Times New Roman"/>
          <w:color w:val="auto"/>
          <w:kern w:val="0"/>
          <w:sz w:val="24"/>
          <w:szCs w:val="24"/>
          <w:highlight w:val="none"/>
        </w:rPr>
        <w:t>法定代表人（签名）：</w:t>
      </w:r>
    </w:p>
    <w:p>
      <w:pPr>
        <w:snapToGrid w:val="0"/>
        <w:spacing w:line="560" w:lineRule="exact"/>
        <w:ind w:firstLine="470" w:firstLineChars="196"/>
        <w:jc w:val="left"/>
        <w:rPr>
          <w:rStyle w:val="32"/>
          <w:rFonts w:cs="Times New Roman"/>
          <w:color w:val="auto"/>
          <w:kern w:val="0"/>
          <w:sz w:val="24"/>
          <w:szCs w:val="24"/>
          <w:highlight w:val="none"/>
        </w:rPr>
      </w:pPr>
      <w:r>
        <w:rPr>
          <w:rStyle w:val="32"/>
          <w:rFonts w:cs="Times New Roman"/>
          <w:color w:val="auto"/>
          <w:kern w:val="0"/>
          <w:sz w:val="24"/>
          <w:szCs w:val="24"/>
          <w:highlight w:val="none"/>
        </w:rPr>
        <w:t>授权委托人（签名）：</w:t>
      </w:r>
    </w:p>
    <w:p>
      <w:pPr>
        <w:snapToGrid w:val="0"/>
        <w:spacing w:line="560" w:lineRule="exact"/>
        <w:ind w:firstLine="470" w:firstLineChars="196"/>
        <w:jc w:val="left"/>
        <w:rPr>
          <w:rStyle w:val="32"/>
          <w:rFonts w:cs="Times New Roman"/>
          <w:color w:val="auto"/>
          <w:kern w:val="0"/>
          <w:sz w:val="24"/>
          <w:szCs w:val="24"/>
          <w:highlight w:val="none"/>
        </w:rPr>
      </w:pPr>
      <w:r>
        <w:rPr>
          <w:rStyle w:val="32"/>
          <w:rFonts w:cs="Times New Roman"/>
          <w:color w:val="auto"/>
          <w:kern w:val="0"/>
          <w:sz w:val="24"/>
          <w:szCs w:val="24"/>
          <w:highlight w:val="none"/>
        </w:rPr>
        <w:t xml:space="preserve">  年     月     日</w:t>
      </w:r>
    </w:p>
    <w:p>
      <w:pPr>
        <w:snapToGrid w:val="0"/>
        <w:jc w:val="center"/>
        <w:rPr>
          <w:rStyle w:val="32"/>
          <w:rFonts w:cs="Times New Roman"/>
          <w:b/>
          <w:bCs/>
          <w:color w:val="auto"/>
          <w:kern w:val="0"/>
          <w:sz w:val="44"/>
          <w:szCs w:val="44"/>
          <w:highlight w:val="none"/>
        </w:rPr>
      </w:pPr>
      <w:r>
        <w:rPr>
          <w:rStyle w:val="32"/>
          <w:rFonts w:cs="Times New Roman"/>
          <w:color w:val="auto"/>
          <w:kern w:val="0"/>
          <w:sz w:val="24"/>
          <w:szCs w:val="24"/>
          <w:highlight w:val="none"/>
        </w:rPr>
        <w:br w:type="page"/>
      </w:r>
      <w:r>
        <w:rPr>
          <w:rStyle w:val="32"/>
          <w:rFonts w:cs="Times New Roman"/>
          <w:b/>
          <w:bCs/>
          <w:color w:val="auto"/>
          <w:kern w:val="0"/>
          <w:sz w:val="44"/>
          <w:szCs w:val="44"/>
          <w:highlight w:val="none"/>
        </w:rPr>
        <w:t>报价的承诺书</w:t>
      </w:r>
    </w:p>
    <w:p>
      <w:pPr>
        <w:snapToGrid w:val="0"/>
        <w:spacing w:line="560" w:lineRule="exact"/>
        <w:jc w:val="left"/>
        <w:rPr>
          <w:rStyle w:val="32"/>
          <w:rFonts w:cs="Times New Roman"/>
          <w:color w:val="auto"/>
          <w:kern w:val="0"/>
          <w:sz w:val="24"/>
          <w:szCs w:val="24"/>
          <w:highlight w:val="none"/>
        </w:rPr>
      </w:pPr>
      <w:r>
        <w:rPr>
          <w:rStyle w:val="32"/>
          <w:rFonts w:cs="Times New Roman"/>
          <w:color w:val="auto"/>
          <w:kern w:val="0"/>
          <w:sz w:val="24"/>
          <w:szCs w:val="24"/>
          <w:highlight w:val="none"/>
        </w:rPr>
        <w:t>致：</w:t>
      </w:r>
      <w:r>
        <w:rPr>
          <w:rStyle w:val="32"/>
          <w:rFonts w:cs="Times New Roman"/>
          <w:color w:val="auto"/>
          <w:kern w:val="0"/>
          <w:sz w:val="24"/>
          <w:szCs w:val="24"/>
          <w:highlight w:val="none"/>
          <w:u w:val="single" w:color="000000"/>
        </w:rPr>
        <w:t xml:space="preserve">           （招标人）</w:t>
      </w:r>
    </w:p>
    <w:p>
      <w:pPr>
        <w:snapToGrid w:val="0"/>
        <w:spacing w:line="560" w:lineRule="exact"/>
        <w:ind w:firstLine="470" w:firstLineChars="196"/>
        <w:jc w:val="left"/>
        <w:rPr>
          <w:rStyle w:val="32"/>
          <w:rFonts w:cs="Times New Roman"/>
          <w:color w:val="auto"/>
          <w:kern w:val="0"/>
          <w:sz w:val="24"/>
          <w:szCs w:val="24"/>
          <w:highlight w:val="none"/>
        </w:rPr>
      </w:pPr>
      <w:r>
        <w:rPr>
          <w:rStyle w:val="32"/>
          <w:rFonts w:cs="Times New Roman"/>
          <w:color w:val="auto"/>
          <w:kern w:val="0"/>
          <w:sz w:val="24"/>
          <w:szCs w:val="24"/>
          <w:highlight w:val="none"/>
        </w:rPr>
        <w:t>我方郑重承诺：遵循公开、公平、公正和诚实守信的原则，参加本次开标会议，是我方真实意思的表达。</w:t>
      </w:r>
    </w:p>
    <w:p>
      <w:pPr>
        <w:snapToGrid w:val="0"/>
        <w:spacing w:line="560" w:lineRule="exact"/>
        <w:ind w:firstLine="470" w:firstLineChars="196"/>
        <w:jc w:val="left"/>
        <w:rPr>
          <w:rStyle w:val="32"/>
          <w:rFonts w:cs="Times New Roman"/>
          <w:color w:val="auto"/>
          <w:kern w:val="0"/>
          <w:sz w:val="24"/>
          <w:szCs w:val="24"/>
          <w:highlight w:val="none"/>
          <w:u w:val="single"/>
        </w:rPr>
      </w:pPr>
      <w:r>
        <w:rPr>
          <w:rStyle w:val="32"/>
          <w:rFonts w:cs="Times New Roman"/>
          <w:color w:val="auto"/>
          <w:kern w:val="0"/>
          <w:sz w:val="24"/>
          <w:szCs w:val="24"/>
          <w:highlight w:val="none"/>
        </w:rPr>
        <w:t>我方参与本项目，施工图预算下浮率承诺完全相应招标文件的要求，且我方已充分考虑工程实施范围内外的单位、个人和其它可能出现的阻挠施工、以及在合同履行过程中可能发生风险的全部因素。完全相应招标文件全部要求，否则</w:t>
      </w:r>
      <w:r>
        <w:rPr>
          <w:rFonts w:cs="Times New Roman"/>
          <w:color w:val="auto"/>
          <w:sz w:val="24"/>
          <w:highlight w:val="none"/>
        </w:rPr>
        <w:t>我方自愿放弃中标资格，且接收相关处罚。</w:t>
      </w:r>
    </w:p>
    <w:p>
      <w:pPr>
        <w:snapToGrid w:val="0"/>
        <w:spacing w:line="560" w:lineRule="exact"/>
        <w:ind w:firstLine="470" w:firstLineChars="196"/>
        <w:jc w:val="left"/>
        <w:rPr>
          <w:rStyle w:val="32"/>
          <w:rFonts w:cs="Times New Roman"/>
          <w:color w:val="auto"/>
          <w:kern w:val="0"/>
          <w:sz w:val="24"/>
          <w:szCs w:val="24"/>
          <w:highlight w:val="none"/>
        </w:rPr>
      </w:pPr>
    </w:p>
    <w:p>
      <w:pPr>
        <w:snapToGrid w:val="0"/>
        <w:spacing w:line="560" w:lineRule="exact"/>
        <w:ind w:firstLine="470" w:firstLineChars="196"/>
        <w:jc w:val="left"/>
        <w:rPr>
          <w:rStyle w:val="32"/>
          <w:rFonts w:cs="Times New Roman"/>
          <w:color w:val="auto"/>
          <w:kern w:val="0"/>
          <w:sz w:val="24"/>
          <w:szCs w:val="24"/>
          <w:highlight w:val="none"/>
        </w:rPr>
      </w:pPr>
      <w:r>
        <w:rPr>
          <w:rStyle w:val="32"/>
          <w:rFonts w:cs="Times New Roman"/>
          <w:color w:val="auto"/>
          <w:kern w:val="0"/>
          <w:sz w:val="24"/>
          <w:szCs w:val="24"/>
          <w:highlight w:val="none"/>
        </w:rPr>
        <w:t>承 诺 单 位（盖章）：</w:t>
      </w:r>
    </w:p>
    <w:p>
      <w:pPr>
        <w:snapToGrid w:val="0"/>
        <w:spacing w:line="560" w:lineRule="exact"/>
        <w:ind w:firstLine="470" w:firstLineChars="196"/>
        <w:jc w:val="left"/>
        <w:rPr>
          <w:rStyle w:val="32"/>
          <w:rFonts w:cs="Times New Roman"/>
          <w:color w:val="auto"/>
          <w:kern w:val="0"/>
          <w:sz w:val="24"/>
          <w:szCs w:val="24"/>
          <w:highlight w:val="none"/>
        </w:rPr>
      </w:pPr>
      <w:r>
        <w:rPr>
          <w:rStyle w:val="32"/>
          <w:rFonts w:cs="Times New Roman"/>
          <w:color w:val="auto"/>
          <w:kern w:val="0"/>
          <w:sz w:val="24"/>
          <w:szCs w:val="24"/>
          <w:highlight w:val="none"/>
        </w:rPr>
        <w:t>法定代表人（签名）：</w:t>
      </w:r>
    </w:p>
    <w:p>
      <w:pPr>
        <w:snapToGrid w:val="0"/>
        <w:spacing w:line="560" w:lineRule="exact"/>
        <w:ind w:firstLine="470" w:firstLineChars="196"/>
        <w:jc w:val="left"/>
        <w:rPr>
          <w:rStyle w:val="32"/>
          <w:rFonts w:cs="Times New Roman"/>
          <w:color w:val="auto"/>
          <w:kern w:val="0"/>
          <w:sz w:val="24"/>
          <w:szCs w:val="24"/>
          <w:highlight w:val="none"/>
        </w:rPr>
      </w:pPr>
      <w:r>
        <w:rPr>
          <w:rStyle w:val="32"/>
          <w:rFonts w:cs="Times New Roman"/>
          <w:color w:val="auto"/>
          <w:kern w:val="0"/>
          <w:sz w:val="24"/>
          <w:szCs w:val="24"/>
          <w:highlight w:val="none"/>
        </w:rPr>
        <w:t>授权委托人（签名）：</w:t>
      </w:r>
    </w:p>
    <w:p>
      <w:pPr>
        <w:snapToGrid w:val="0"/>
        <w:spacing w:line="560" w:lineRule="exact"/>
        <w:ind w:firstLine="470" w:firstLineChars="196"/>
        <w:jc w:val="left"/>
        <w:rPr>
          <w:rFonts w:cs="Times New Roman"/>
          <w:color w:val="auto"/>
          <w:highlight w:val="none"/>
        </w:rPr>
      </w:pPr>
      <w:r>
        <w:rPr>
          <w:rStyle w:val="32"/>
          <w:rFonts w:cs="Times New Roman"/>
          <w:color w:val="auto"/>
          <w:kern w:val="0"/>
          <w:sz w:val="24"/>
          <w:szCs w:val="24"/>
          <w:highlight w:val="none"/>
        </w:rPr>
        <w:t xml:space="preserve">  年     月     日</w:t>
      </w:r>
    </w:p>
    <w:p>
      <w:pPr>
        <w:snapToGrid w:val="0"/>
        <w:spacing w:line="560" w:lineRule="exact"/>
        <w:ind w:firstLine="470" w:firstLineChars="196"/>
        <w:jc w:val="left"/>
        <w:rPr>
          <w:rStyle w:val="32"/>
          <w:rFonts w:cs="Times New Roman"/>
          <w:color w:val="auto"/>
          <w:kern w:val="0"/>
          <w:sz w:val="24"/>
          <w:szCs w:val="24"/>
          <w:highlight w:val="none"/>
        </w:rPr>
      </w:pPr>
      <w:r>
        <w:rPr>
          <w:rStyle w:val="32"/>
          <w:rFonts w:cs="Times New Roman"/>
          <w:color w:val="auto"/>
          <w:kern w:val="0"/>
          <w:sz w:val="24"/>
          <w:szCs w:val="24"/>
          <w:highlight w:val="none"/>
        </w:rPr>
        <w:br w:type="page"/>
      </w:r>
    </w:p>
    <w:p>
      <w:pPr>
        <w:snapToGrid w:val="0"/>
        <w:spacing w:line="520" w:lineRule="exact"/>
        <w:jc w:val="left"/>
        <w:rPr>
          <w:rStyle w:val="32"/>
          <w:rFonts w:cs="Times New Roman"/>
          <w:b/>
          <w:color w:val="auto"/>
          <w:sz w:val="32"/>
          <w:szCs w:val="24"/>
          <w:highlight w:val="none"/>
        </w:rPr>
      </w:pPr>
      <w:r>
        <w:rPr>
          <w:rStyle w:val="32"/>
          <w:rFonts w:cs="Times New Roman"/>
          <w:b/>
          <w:bCs/>
          <w:color w:val="auto"/>
          <w:sz w:val="32"/>
          <w:szCs w:val="32"/>
          <w:highlight w:val="none"/>
        </w:rPr>
        <w:t>封面</w:t>
      </w:r>
    </w:p>
    <w:p>
      <w:pPr>
        <w:snapToGrid w:val="0"/>
        <w:spacing w:line="360" w:lineRule="auto"/>
        <w:jc w:val="center"/>
        <w:rPr>
          <w:rStyle w:val="32"/>
          <w:rFonts w:cs="Times New Roman"/>
          <w:color w:val="auto"/>
          <w:sz w:val="44"/>
          <w:szCs w:val="44"/>
          <w:highlight w:val="none"/>
          <w:u w:val="single" w:color="000000"/>
        </w:rPr>
      </w:pPr>
    </w:p>
    <w:p>
      <w:pPr>
        <w:snapToGrid w:val="0"/>
        <w:spacing w:line="360" w:lineRule="auto"/>
        <w:jc w:val="center"/>
        <w:rPr>
          <w:rStyle w:val="32"/>
          <w:rFonts w:cs="Times New Roman"/>
          <w:color w:val="auto"/>
          <w:sz w:val="44"/>
          <w:szCs w:val="44"/>
          <w:highlight w:val="none"/>
        </w:rPr>
      </w:pPr>
      <w:r>
        <w:rPr>
          <w:rStyle w:val="32"/>
          <w:rFonts w:cs="Times New Roman"/>
          <w:color w:val="auto"/>
          <w:sz w:val="44"/>
          <w:szCs w:val="44"/>
          <w:highlight w:val="none"/>
          <w:u w:val="single" w:color="000000"/>
        </w:rPr>
        <w:t xml:space="preserve">（项目名称）    </w:t>
      </w:r>
      <w:r>
        <w:rPr>
          <w:rStyle w:val="32"/>
          <w:rFonts w:cs="Times New Roman"/>
          <w:color w:val="auto"/>
          <w:sz w:val="44"/>
          <w:szCs w:val="44"/>
          <w:highlight w:val="none"/>
        </w:rPr>
        <w:t>招标</w:t>
      </w:r>
    </w:p>
    <w:p>
      <w:pPr>
        <w:snapToGrid w:val="0"/>
        <w:spacing w:line="360" w:lineRule="auto"/>
        <w:jc w:val="center"/>
        <w:rPr>
          <w:rStyle w:val="32"/>
          <w:rFonts w:cs="Times New Roman"/>
          <w:color w:val="auto"/>
          <w:sz w:val="28"/>
          <w:szCs w:val="28"/>
          <w:highlight w:val="none"/>
        </w:rPr>
      </w:pPr>
    </w:p>
    <w:p>
      <w:pPr>
        <w:snapToGrid w:val="0"/>
        <w:spacing w:line="360" w:lineRule="auto"/>
        <w:jc w:val="center"/>
        <w:rPr>
          <w:rStyle w:val="32"/>
          <w:rFonts w:cs="Times New Roman"/>
          <w:color w:val="auto"/>
          <w:sz w:val="72"/>
          <w:szCs w:val="72"/>
          <w:highlight w:val="none"/>
        </w:rPr>
      </w:pPr>
    </w:p>
    <w:p>
      <w:pPr>
        <w:snapToGrid w:val="0"/>
        <w:spacing w:line="360" w:lineRule="auto"/>
        <w:jc w:val="center"/>
        <w:rPr>
          <w:rStyle w:val="32"/>
          <w:rFonts w:cs="Times New Roman"/>
          <w:color w:val="auto"/>
          <w:sz w:val="96"/>
          <w:szCs w:val="96"/>
          <w:highlight w:val="none"/>
        </w:rPr>
      </w:pPr>
      <w:r>
        <w:rPr>
          <w:rStyle w:val="32"/>
          <w:rFonts w:cs="Times New Roman"/>
          <w:color w:val="auto"/>
          <w:sz w:val="96"/>
          <w:szCs w:val="96"/>
          <w:highlight w:val="none"/>
        </w:rPr>
        <w:t>投 标 文 件</w:t>
      </w:r>
    </w:p>
    <w:p>
      <w:pPr>
        <w:snapToGrid w:val="0"/>
        <w:spacing w:line="360" w:lineRule="auto"/>
        <w:jc w:val="center"/>
        <w:rPr>
          <w:rStyle w:val="32"/>
          <w:rFonts w:cs="Times New Roman"/>
          <w:color w:val="auto"/>
          <w:sz w:val="28"/>
          <w:szCs w:val="28"/>
          <w:highlight w:val="none"/>
        </w:rPr>
      </w:pPr>
    </w:p>
    <w:p>
      <w:pPr>
        <w:snapToGrid w:val="0"/>
        <w:spacing w:line="360" w:lineRule="auto"/>
        <w:jc w:val="center"/>
        <w:rPr>
          <w:rStyle w:val="32"/>
          <w:rFonts w:cs="Times New Roman"/>
          <w:color w:val="auto"/>
          <w:sz w:val="28"/>
          <w:szCs w:val="28"/>
          <w:highlight w:val="none"/>
        </w:rPr>
      </w:pPr>
      <w:r>
        <w:rPr>
          <w:rStyle w:val="32"/>
          <w:rFonts w:cs="Times New Roman"/>
          <w:color w:val="auto"/>
          <w:sz w:val="28"/>
          <w:szCs w:val="28"/>
          <w:highlight w:val="none"/>
        </w:rPr>
        <w:t xml:space="preserve">招标编号： </w:t>
      </w:r>
    </w:p>
    <w:p>
      <w:pPr>
        <w:snapToGrid w:val="0"/>
        <w:spacing w:line="360" w:lineRule="auto"/>
        <w:jc w:val="center"/>
        <w:rPr>
          <w:rStyle w:val="32"/>
          <w:rFonts w:cs="Times New Roman"/>
          <w:b/>
          <w:color w:val="auto"/>
          <w:sz w:val="28"/>
          <w:szCs w:val="28"/>
          <w:highlight w:val="none"/>
        </w:rPr>
      </w:pPr>
      <w:r>
        <w:rPr>
          <w:rStyle w:val="32"/>
          <w:rFonts w:cs="Times New Roman"/>
          <w:b/>
          <w:color w:val="auto"/>
          <w:sz w:val="28"/>
          <w:szCs w:val="28"/>
          <w:highlight w:val="none"/>
        </w:rPr>
        <w:t>（技术商务标）</w:t>
      </w:r>
    </w:p>
    <w:p>
      <w:pPr>
        <w:snapToGrid w:val="0"/>
        <w:spacing w:line="360" w:lineRule="auto"/>
        <w:jc w:val="center"/>
        <w:rPr>
          <w:rStyle w:val="32"/>
          <w:rFonts w:cs="Times New Roman"/>
          <w:color w:val="auto"/>
          <w:sz w:val="28"/>
          <w:szCs w:val="28"/>
          <w:highlight w:val="none"/>
        </w:rPr>
      </w:pPr>
    </w:p>
    <w:p>
      <w:pPr>
        <w:snapToGrid w:val="0"/>
        <w:spacing w:line="360" w:lineRule="auto"/>
        <w:jc w:val="center"/>
        <w:rPr>
          <w:rStyle w:val="32"/>
          <w:rFonts w:cs="Times New Roman"/>
          <w:color w:val="auto"/>
          <w:sz w:val="28"/>
          <w:szCs w:val="28"/>
          <w:highlight w:val="none"/>
        </w:rPr>
      </w:pPr>
    </w:p>
    <w:p>
      <w:pPr>
        <w:snapToGrid w:val="0"/>
        <w:spacing w:line="360" w:lineRule="auto"/>
        <w:jc w:val="center"/>
        <w:rPr>
          <w:rStyle w:val="32"/>
          <w:rFonts w:cs="Times New Roman"/>
          <w:color w:val="auto"/>
          <w:sz w:val="28"/>
          <w:szCs w:val="28"/>
          <w:highlight w:val="none"/>
        </w:rPr>
      </w:pPr>
    </w:p>
    <w:p>
      <w:pPr>
        <w:snapToGrid w:val="0"/>
        <w:spacing w:line="360" w:lineRule="auto"/>
        <w:jc w:val="center"/>
        <w:rPr>
          <w:rStyle w:val="32"/>
          <w:rFonts w:cs="Times New Roman"/>
          <w:color w:val="auto"/>
          <w:sz w:val="28"/>
          <w:szCs w:val="28"/>
          <w:highlight w:val="none"/>
        </w:rPr>
      </w:pPr>
    </w:p>
    <w:p>
      <w:pPr>
        <w:snapToGrid w:val="0"/>
        <w:spacing w:line="360" w:lineRule="auto"/>
        <w:jc w:val="center"/>
        <w:rPr>
          <w:rStyle w:val="32"/>
          <w:rFonts w:cs="Times New Roman"/>
          <w:color w:val="auto"/>
          <w:sz w:val="28"/>
          <w:szCs w:val="28"/>
          <w:highlight w:val="none"/>
        </w:rPr>
      </w:pPr>
    </w:p>
    <w:p>
      <w:pPr>
        <w:snapToGrid w:val="0"/>
        <w:spacing w:line="360" w:lineRule="auto"/>
        <w:jc w:val="center"/>
        <w:rPr>
          <w:rStyle w:val="32"/>
          <w:rFonts w:cs="Times New Roman"/>
          <w:color w:val="auto"/>
          <w:sz w:val="28"/>
          <w:szCs w:val="28"/>
          <w:highlight w:val="none"/>
        </w:rPr>
      </w:pPr>
    </w:p>
    <w:p>
      <w:pPr>
        <w:snapToGrid w:val="0"/>
        <w:spacing w:line="360" w:lineRule="auto"/>
        <w:jc w:val="center"/>
        <w:rPr>
          <w:rStyle w:val="32"/>
          <w:rFonts w:cs="Times New Roman"/>
          <w:color w:val="auto"/>
          <w:sz w:val="28"/>
          <w:szCs w:val="28"/>
          <w:highlight w:val="none"/>
        </w:rPr>
      </w:pPr>
    </w:p>
    <w:p>
      <w:pPr>
        <w:snapToGrid w:val="0"/>
        <w:spacing w:line="360" w:lineRule="auto"/>
        <w:ind w:firstLine="708" w:firstLineChars="253"/>
        <w:jc w:val="left"/>
        <w:rPr>
          <w:rStyle w:val="32"/>
          <w:rFonts w:cs="Times New Roman"/>
          <w:color w:val="auto"/>
          <w:sz w:val="28"/>
          <w:szCs w:val="28"/>
          <w:highlight w:val="none"/>
          <w:u w:val="single" w:color="000000"/>
        </w:rPr>
      </w:pPr>
      <w:r>
        <w:rPr>
          <w:rStyle w:val="32"/>
          <w:rFonts w:cs="Times New Roman"/>
          <w:color w:val="auto"/>
          <w:sz w:val="28"/>
          <w:szCs w:val="28"/>
          <w:highlight w:val="none"/>
        </w:rPr>
        <w:t>招    标   人：</w:t>
      </w:r>
      <w:r>
        <w:rPr>
          <w:rStyle w:val="32"/>
          <w:rFonts w:cs="Times New Roman"/>
          <w:color w:val="auto"/>
          <w:sz w:val="28"/>
          <w:szCs w:val="28"/>
          <w:highlight w:val="none"/>
          <w:u w:val="single" w:color="000000"/>
        </w:rPr>
        <w:t xml:space="preserve">                                 </w:t>
      </w:r>
    </w:p>
    <w:p>
      <w:pPr>
        <w:snapToGrid w:val="0"/>
        <w:spacing w:line="360" w:lineRule="auto"/>
        <w:ind w:firstLine="708" w:firstLineChars="253"/>
        <w:jc w:val="left"/>
        <w:rPr>
          <w:rStyle w:val="32"/>
          <w:rFonts w:cs="Times New Roman"/>
          <w:color w:val="auto"/>
          <w:sz w:val="28"/>
          <w:szCs w:val="28"/>
          <w:highlight w:val="none"/>
          <w:u w:val="single" w:color="000000"/>
        </w:rPr>
      </w:pPr>
      <w:r>
        <w:rPr>
          <w:rStyle w:val="32"/>
          <w:rFonts w:cs="Times New Roman"/>
          <w:color w:val="auto"/>
          <w:sz w:val="28"/>
          <w:szCs w:val="28"/>
          <w:highlight w:val="none"/>
        </w:rPr>
        <w:t>投标人（盖章）：</w:t>
      </w:r>
      <w:r>
        <w:rPr>
          <w:rStyle w:val="32"/>
          <w:rFonts w:cs="Times New Roman"/>
          <w:color w:val="auto"/>
          <w:sz w:val="28"/>
          <w:szCs w:val="28"/>
          <w:highlight w:val="none"/>
          <w:u w:val="single" w:color="000000"/>
        </w:rPr>
        <w:t xml:space="preserve">                                 </w:t>
      </w:r>
    </w:p>
    <w:p>
      <w:pPr>
        <w:snapToGrid w:val="0"/>
        <w:spacing w:line="360" w:lineRule="auto"/>
        <w:ind w:firstLine="700" w:firstLineChars="250"/>
        <w:jc w:val="left"/>
        <w:rPr>
          <w:rStyle w:val="32"/>
          <w:rFonts w:cs="Times New Roman"/>
          <w:color w:val="auto"/>
          <w:kern w:val="0"/>
          <w:sz w:val="20"/>
          <w:highlight w:val="none"/>
        </w:rPr>
      </w:pPr>
      <w:r>
        <w:rPr>
          <w:rStyle w:val="32"/>
          <w:rFonts w:cs="Times New Roman"/>
          <w:color w:val="auto"/>
          <w:sz w:val="28"/>
          <w:szCs w:val="28"/>
          <w:highlight w:val="none"/>
        </w:rPr>
        <w:t>日         期：</w:t>
      </w:r>
      <w:r>
        <w:rPr>
          <w:rStyle w:val="32"/>
          <w:rFonts w:cs="Times New Roman"/>
          <w:color w:val="auto"/>
          <w:sz w:val="28"/>
          <w:szCs w:val="28"/>
          <w:highlight w:val="none"/>
          <w:u w:val="single" w:color="000000"/>
        </w:rPr>
        <w:t xml:space="preserve">     </w:t>
      </w:r>
      <w:r>
        <w:rPr>
          <w:rStyle w:val="32"/>
          <w:rFonts w:cs="Times New Roman"/>
          <w:color w:val="auto"/>
          <w:sz w:val="28"/>
          <w:szCs w:val="28"/>
          <w:highlight w:val="none"/>
        </w:rPr>
        <w:t>年</w:t>
      </w:r>
      <w:r>
        <w:rPr>
          <w:rStyle w:val="32"/>
          <w:rFonts w:cs="Times New Roman"/>
          <w:color w:val="auto"/>
          <w:sz w:val="28"/>
          <w:szCs w:val="28"/>
          <w:highlight w:val="none"/>
          <w:u w:val="single" w:color="000000"/>
        </w:rPr>
        <w:t xml:space="preserve">    </w:t>
      </w:r>
      <w:r>
        <w:rPr>
          <w:rStyle w:val="32"/>
          <w:rFonts w:cs="Times New Roman"/>
          <w:color w:val="auto"/>
          <w:sz w:val="28"/>
          <w:szCs w:val="28"/>
          <w:highlight w:val="none"/>
        </w:rPr>
        <w:t>月</w:t>
      </w:r>
      <w:r>
        <w:rPr>
          <w:rStyle w:val="32"/>
          <w:rFonts w:cs="Times New Roman"/>
          <w:color w:val="auto"/>
          <w:sz w:val="28"/>
          <w:szCs w:val="28"/>
          <w:highlight w:val="none"/>
          <w:u w:val="single" w:color="000000"/>
        </w:rPr>
        <w:t xml:space="preserve">    </w:t>
      </w:r>
    </w:p>
    <w:p>
      <w:pPr>
        <w:snapToGrid w:val="0"/>
        <w:spacing w:line="360" w:lineRule="auto"/>
        <w:rPr>
          <w:rStyle w:val="32"/>
          <w:rFonts w:cs="Times New Roman"/>
          <w:b/>
          <w:color w:val="auto"/>
          <w:sz w:val="24"/>
          <w:szCs w:val="24"/>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snapToGrid w:val="0"/>
        <w:spacing w:line="360" w:lineRule="auto"/>
        <w:rPr>
          <w:rStyle w:val="32"/>
          <w:rFonts w:cs="Times New Roman"/>
          <w:b/>
          <w:color w:val="auto"/>
          <w:sz w:val="32"/>
          <w:szCs w:val="24"/>
          <w:highlight w:val="none"/>
        </w:rPr>
      </w:pPr>
      <w:r>
        <w:rPr>
          <w:rStyle w:val="32"/>
          <w:rFonts w:cs="Times New Roman"/>
          <w:b/>
          <w:color w:val="auto"/>
          <w:sz w:val="32"/>
          <w:szCs w:val="24"/>
          <w:highlight w:val="none"/>
        </w:rPr>
        <w:t>目     录</w:t>
      </w:r>
    </w:p>
    <w:p>
      <w:pPr>
        <w:snapToGrid w:val="0"/>
        <w:spacing w:line="360" w:lineRule="auto"/>
        <w:rPr>
          <w:rStyle w:val="32"/>
          <w:rFonts w:cs="Times New Roman"/>
          <w:color w:val="auto"/>
          <w:sz w:val="20"/>
          <w:highlight w:val="none"/>
        </w:rPr>
      </w:pPr>
      <w:r>
        <w:rPr>
          <w:rStyle w:val="32"/>
          <w:rFonts w:cs="Times New Roman"/>
          <w:b/>
          <w:color w:val="auto"/>
          <w:highlight w:val="none"/>
        </w:rPr>
        <w:t>1、</w:t>
      </w:r>
      <w:r>
        <w:rPr>
          <w:rStyle w:val="32"/>
          <w:rFonts w:cs="Times New Roman"/>
          <w:b/>
          <w:color w:val="auto"/>
          <w:kern w:val="0"/>
          <w:highlight w:val="none"/>
        </w:rPr>
        <w:t>技术商务标投标书（应包括但不限于以下内容。）：</w:t>
      </w:r>
    </w:p>
    <w:p>
      <w:pPr>
        <w:pStyle w:val="159"/>
        <w:snapToGrid w:val="0"/>
        <w:spacing w:before="312" w:after="312" w:line="300" w:lineRule="auto"/>
        <w:ind w:left="549"/>
        <w:rPr>
          <w:rStyle w:val="32"/>
          <w:rFonts w:ascii="Times New Roman" w:hAnsi="Times New Roman" w:cs="Times New Roman"/>
          <w:color w:val="auto"/>
          <w:highlight w:val="none"/>
          <w:lang w:val="zh-CN"/>
        </w:rPr>
      </w:pPr>
      <w:r>
        <w:rPr>
          <w:rStyle w:val="32"/>
          <w:rFonts w:ascii="Times New Roman" w:hAnsi="Times New Roman" w:cs="Times New Roman"/>
          <w:color w:val="auto"/>
          <w:highlight w:val="none"/>
          <w:lang w:val="zh-CN"/>
        </w:rPr>
        <w:t>1.1投标函</w:t>
      </w:r>
    </w:p>
    <w:p>
      <w:pPr>
        <w:pStyle w:val="159"/>
        <w:snapToGrid w:val="0"/>
        <w:spacing w:before="312" w:after="312" w:line="300" w:lineRule="auto"/>
        <w:ind w:left="549"/>
        <w:rPr>
          <w:rStyle w:val="32"/>
          <w:rFonts w:ascii="Times New Roman" w:hAnsi="Times New Roman" w:cs="Times New Roman"/>
          <w:color w:val="auto"/>
          <w:highlight w:val="none"/>
          <w:lang w:val="zh-CN"/>
        </w:rPr>
      </w:pPr>
      <w:r>
        <w:rPr>
          <w:rStyle w:val="32"/>
          <w:rFonts w:ascii="Times New Roman" w:hAnsi="Times New Roman" w:cs="Times New Roman"/>
          <w:color w:val="auto"/>
          <w:highlight w:val="none"/>
          <w:lang w:val="zh-CN"/>
        </w:rPr>
        <w:t>1.2根据招标文件 “评标方法”中技术商务部分的评标标准依次提供相应材料。</w:t>
      </w:r>
    </w:p>
    <w:p>
      <w:pPr>
        <w:snapToGrid w:val="0"/>
        <w:rPr>
          <w:rStyle w:val="32"/>
          <w:rFonts w:cs="Times New Roman"/>
          <w:color w:val="auto"/>
          <w:sz w:val="20"/>
          <w:szCs w:val="24"/>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hint="eastAsia" w:ascii="Times New Roman" w:cs="Times New Roman"/>
          <w:color w:val="auto"/>
          <w:highlight w:val="none"/>
        </w:rPr>
      </w:pPr>
    </w:p>
    <w:p>
      <w:pPr>
        <w:pStyle w:val="2"/>
        <w:rPr>
          <w:rFonts w:hint="eastAsia"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snapToGrid w:val="0"/>
        <w:spacing w:line="360" w:lineRule="auto"/>
        <w:ind w:firstLine="1044" w:firstLineChars="400"/>
        <w:rPr>
          <w:rStyle w:val="32"/>
          <w:rFonts w:cs="Times New Roman"/>
          <w:b/>
          <w:color w:val="auto"/>
          <w:sz w:val="36"/>
          <w:szCs w:val="36"/>
          <w:highlight w:val="none"/>
        </w:rPr>
      </w:pPr>
      <w:r>
        <w:rPr>
          <w:rStyle w:val="32"/>
          <w:rFonts w:cs="Times New Roman"/>
          <w:b/>
          <w:bCs/>
          <w:color w:val="auto"/>
          <w:spacing w:val="10"/>
          <w:sz w:val="24"/>
          <w:szCs w:val="20"/>
          <w:highlight w:val="none"/>
        </w:rPr>
        <w:t xml:space="preserve">          </w:t>
      </w:r>
      <w:r>
        <w:rPr>
          <w:rStyle w:val="32"/>
          <w:rFonts w:cs="Times New Roman"/>
          <w:b/>
          <w:color w:val="auto"/>
          <w:sz w:val="36"/>
          <w:szCs w:val="36"/>
          <w:highlight w:val="none"/>
        </w:rPr>
        <w:t>1、投标函格式</w:t>
      </w:r>
    </w:p>
    <w:p>
      <w:pPr>
        <w:snapToGrid w:val="0"/>
        <w:spacing w:line="360" w:lineRule="auto"/>
        <w:rPr>
          <w:rStyle w:val="32"/>
          <w:rFonts w:hint="eastAsia" w:eastAsia="宋体" w:cs="Times New Roman"/>
          <w:color w:val="auto"/>
          <w:sz w:val="20"/>
          <w:szCs w:val="24"/>
          <w:highlight w:val="none"/>
          <w:lang w:eastAsia="zh-CN"/>
        </w:rPr>
      </w:pPr>
      <w:r>
        <w:rPr>
          <w:rStyle w:val="32"/>
          <w:rFonts w:cs="Times New Roman"/>
          <w:color w:val="auto"/>
          <w:szCs w:val="24"/>
          <w:highlight w:val="none"/>
        </w:rPr>
        <w:t>致：</w:t>
      </w:r>
      <w:r>
        <w:rPr>
          <w:rStyle w:val="32"/>
          <w:rFonts w:hint="eastAsia" w:cs="Times New Roman"/>
          <w:color w:val="auto"/>
          <w:szCs w:val="24"/>
          <w:highlight w:val="none"/>
          <w:lang w:eastAsia="zh-CN"/>
        </w:rPr>
        <w:t>如皋市交通产业集团有限公司</w:t>
      </w:r>
    </w:p>
    <w:p>
      <w:pPr>
        <w:snapToGrid w:val="0"/>
        <w:spacing w:line="360" w:lineRule="auto"/>
        <w:ind w:firstLine="420" w:firstLineChars="200"/>
        <w:rPr>
          <w:rStyle w:val="32"/>
          <w:rFonts w:cs="Times New Roman"/>
          <w:color w:val="auto"/>
          <w:sz w:val="20"/>
          <w:szCs w:val="24"/>
          <w:highlight w:val="none"/>
        </w:rPr>
      </w:pPr>
      <w:r>
        <w:rPr>
          <w:rStyle w:val="32"/>
          <w:rFonts w:cs="Times New Roman"/>
          <w:color w:val="auto"/>
          <w:szCs w:val="24"/>
          <w:highlight w:val="none"/>
        </w:rPr>
        <w:t>根据贵方的</w:t>
      </w:r>
      <w:r>
        <w:rPr>
          <w:rStyle w:val="32"/>
          <w:rFonts w:cs="Times New Roman"/>
          <w:color w:val="auto"/>
          <w:szCs w:val="24"/>
          <w:highlight w:val="none"/>
          <w:u w:val="single" w:color="000000"/>
        </w:rPr>
        <w:t xml:space="preserve">       </w:t>
      </w:r>
      <w:r>
        <w:rPr>
          <w:rStyle w:val="32"/>
          <w:rFonts w:cs="Times New Roman"/>
          <w:color w:val="auto"/>
          <w:szCs w:val="24"/>
          <w:highlight w:val="none"/>
        </w:rPr>
        <w:t>号招标文件，正式授权下述签字人</w:t>
      </w:r>
      <w:r>
        <w:rPr>
          <w:rStyle w:val="32"/>
          <w:rFonts w:cs="Times New Roman"/>
          <w:color w:val="auto"/>
          <w:szCs w:val="24"/>
          <w:highlight w:val="none"/>
          <w:u w:val="single" w:color="000000"/>
        </w:rPr>
        <w:t xml:space="preserve"> (姓名)</w:t>
      </w:r>
      <w:r>
        <w:rPr>
          <w:rStyle w:val="32"/>
          <w:rFonts w:cs="Times New Roman"/>
          <w:color w:val="auto"/>
          <w:szCs w:val="24"/>
          <w:highlight w:val="none"/>
        </w:rPr>
        <w:t>代表我方</w:t>
      </w:r>
      <w:r>
        <w:rPr>
          <w:rStyle w:val="32"/>
          <w:rFonts w:cs="Times New Roman"/>
          <w:color w:val="auto"/>
          <w:szCs w:val="24"/>
          <w:highlight w:val="none"/>
          <w:u w:val="single" w:color="000000"/>
        </w:rPr>
        <w:t xml:space="preserve"> （投标人的名称）</w:t>
      </w:r>
      <w:r>
        <w:rPr>
          <w:rStyle w:val="32"/>
          <w:rFonts w:cs="Times New Roman"/>
          <w:color w:val="auto"/>
          <w:szCs w:val="24"/>
          <w:highlight w:val="none"/>
        </w:rPr>
        <w:t>，全权处理本次项目投标的有关事宜。</w:t>
      </w:r>
    </w:p>
    <w:p>
      <w:pPr>
        <w:snapToGrid w:val="0"/>
        <w:spacing w:line="360" w:lineRule="auto"/>
        <w:rPr>
          <w:rStyle w:val="32"/>
          <w:rFonts w:cs="Times New Roman"/>
          <w:color w:val="auto"/>
          <w:sz w:val="20"/>
          <w:szCs w:val="24"/>
          <w:highlight w:val="none"/>
        </w:rPr>
      </w:pPr>
      <w:r>
        <w:rPr>
          <w:rStyle w:val="32"/>
          <w:rFonts w:cs="Times New Roman"/>
          <w:color w:val="auto"/>
          <w:szCs w:val="24"/>
          <w:highlight w:val="none"/>
        </w:rPr>
        <w:t>据此函， 签字人兹宣布同意如下：</w:t>
      </w:r>
    </w:p>
    <w:p>
      <w:pPr>
        <w:snapToGrid w:val="0"/>
        <w:spacing w:line="360" w:lineRule="auto"/>
        <w:rPr>
          <w:rStyle w:val="32"/>
          <w:rFonts w:cs="Times New Roman"/>
          <w:color w:val="auto"/>
          <w:sz w:val="20"/>
          <w:szCs w:val="24"/>
          <w:highlight w:val="none"/>
        </w:rPr>
      </w:pPr>
      <w:r>
        <w:rPr>
          <w:rStyle w:val="32"/>
          <w:rFonts w:cs="Times New Roman"/>
          <w:color w:val="auto"/>
          <w:szCs w:val="24"/>
          <w:highlight w:val="none"/>
        </w:rPr>
        <w:t>1.按招标文件规定的各项要求，向买方提供所需货物、服务与服务。</w:t>
      </w:r>
    </w:p>
    <w:p>
      <w:pPr>
        <w:snapToGrid w:val="0"/>
        <w:spacing w:line="360" w:lineRule="auto"/>
        <w:rPr>
          <w:rStyle w:val="32"/>
          <w:rFonts w:cs="Times New Roman"/>
          <w:color w:val="auto"/>
          <w:sz w:val="20"/>
          <w:szCs w:val="24"/>
          <w:highlight w:val="none"/>
        </w:rPr>
      </w:pPr>
      <w:r>
        <w:rPr>
          <w:rStyle w:val="32"/>
          <w:rFonts w:cs="Times New Roman"/>
          <w:color w:val="auto"/>
          <w:szCs w:val="24"/>
          <w:highlight w:val="none"/>
        </w:rPr>
        <w:t>2.我们完全理解贵方不一定将合同授予最低报价的投标人。</w:t>
      </w:r>
    </w:p>
    <w:p>
      <w:pPr>
        <w:snapToGrid w:val="0"/>
        <w:spacing w:line="360" w:lineRule="auto"/>
        <w:rPr>
          <w:rStyle w:val="32"/>
          <w:rFonts w:cs="Times New Roman"/>
          <w:color w:val="auto"/>
          <w:sz w:val="20"/>
          <w:szCs w:val="24"/>
          <w:highlight w:val="none"/>
        </w:rPr>
      </w:pPr>
      <w:r>
        <w:rPr>
          <w:rStyle w:val="32"/>
          <w:rFonts w:cs="Times New Roman"/>
          <w:color w:val="auto"/>
          <w:szCs w:val="24"/>
          <w:highlight w:val="none"/>
        </w:rPr>
        <w:t>3.我们已详细审核全部招标文件及其有效补充文件，我们知道必须放弃提出含糊不清或误解问题的权利。</w:t>
      </w:r>
    </w:p>
    <w:p>
      <w:pPr>
        <w:snapToGrid w:val="0"/>
        <w:spacing w:line="360" w:lineRule="auto"/>
        <w:rPr>
          <w:rStyle w:val="32"/>
          <w:rFonts w:cs="Times New Roman"/>
          <w:color w:val="auto"/>
          <w:sz w:val="20"/>
          <w:szCs w:val="24"/>
          <w:highlight w:val="none"/>
        </w:rPr>
      </w:pPr>
      <w:r>
        <w:rPr>
          <w:rStyle w:val="32"/>
          <w:rFonts w:cs="Times New Roman"/>
          <w:color w:val="auto"/>
          <w:szCs w:val="24"/>
          <w:highlight w:val="none"/>
        </w:rPr>
        <w:t>4.我们同意从规定的开标日期起遵循本投标文件，并在规定的投标有效期期满之前均具有约束力。</w:t>
      </w:r>
    </w:p>
    <w:p>
      <w:pPr>
        <w:snapToGrid w:val="0"/>
        <w:spacing w:line="360" w:lineRule="auto"/>
        <w:rPr>
          <w:rStyle w:val="32"/>
          <w:rFonts w:cs="Times New Roman"/>
          <w:color w:val="auto"/>
          <w:sz w:val="20"/>
          <w:szCs w:val="24"/>
          <w:highlight w:val="none"/>
        </w:rPr>
      </w:pPr>
      <w:r>
        <w:rPr>
          <w:rStyle w:val="32"/>
          <w:rFonts w:cs="Times New Roman"/>
          <w:color w:val="auto"/>
          <w:szCs w:val="24"/>
          <w:highlight w:val="none"/>
        </w:rPr>
        <w:t>5.如果在开标后规定的投标有效期内撤回投标或中标后拒绝签订合同，我们的投标保证金可不予退还。</w:t>
      </w:r>
    </w:p>
    <w:p>
      <w:pPr>
        <w:snapToGrid w:val="0"/>
        <w:spacing w:line="360" w:lineRule="auto"/>
        <w:rPr>
          <w:rStyle w:val="32"/>
          <w:rFonts w:cs="Times New Roman"/>
          <w:color w:val="auto"/>
          <w:sz w:val="20"/>
          <w:szCs w:val="24"/>
          <w:highlight w:val="none"/>
        </w:rPr>
      </w:pPr>
      <w:r>
        <w:rPr>
          <w:rStyle w:val="32"/>
          <w:rFonts w:cs="Times New Roman"/>
          <w:color w:val="auto"/>
          <w:szCs w:val="24"/>
          <w:highlight w:val="none"/>
        </w:rPr>
        <w:t>6.同意向贵方提供贵方可能另外要求的与投标有关的任何证据或资料，并保证我方已提供和将要提供的文件是真实的、准确的。</w:t>
      </w:r>
    </w:p>
    <w:p>
      <w:pPr>
        <w:snapToGrid w:val="0"/>
        <w:spacing w:line="360" w:lineRule="auto"/>
        <w:rPr>
          <w:rStyle w:val="32"/>
          <w:rFonts w:cs="Times New Roman"/>
          <w:color w:val="auto"/>
          <w:sz w:val="20"/>
          <w:szCs w:val="24"/>
          <w:highlight w:val="none"/>
        </w:rPr>
      </w:pPr>
      <w:r>
        <w:rPr>
          <w:rStyle w:val="32"/>
          <w:rFonts w:cs="Times New Roman"/>
          <w:color w:val="auto"/>
          <w:szCs w:val="24"/>
          <w:highlight w:val="none"/>
        </w:rPr>
        <w:t>7.一旦我方中标,我方将根据招标文件的规定，严格履行合同的责任和义务,并保证在招标文件规定的时间完成项目，交付买方验收、使用。</w:t>
      </w:r>
    </w:p>
    <w:p>
      <w:pPr>
        <w:snapToGrid w:val="0"/>
        <w:spacing w:line="360" w:lineRule="auto"/>
        <w:rPr>
          <w:rStyle w:val="32"/>
          <w:rFonts w:cs="Times New Roman"/>
          <w:color w:val="auto"/>
          <w:sz w:val="20"/>
          <w:szCs w:val="24"/>
          <w:highlight w:val="none"/>
        </w:rPr>
      </w:pPr>
      <w:r>
        <w:rPr>
          <w:rStyle w:val="32"/>
          <w:rFonts w:cs="Times New Roman"/>
          <w:color w:val="auto"/>
          <w:szCs w:val="24"/>
          <w:highlight w:val="none"/>
        </w:rPr>
        <w:t>8.与本投标有关的正式通讯地址为：</w:t>
      </w:r>
    </w:p>
    <w:p>
      <w:pPr>
        <w:snapToGrid w:val="0"/>
        <w:spacing w:line="360" w:lineRule="auto"/>
        <w:rPr>
          <w:rStyle w:val="32"/>
          <w:rFonts w:cs="Times New Roman"/>
          <w:color w:val="auto"/>
          <w:sz w:val="20"/>
          <w:szCs w:val="24"/>
          <w:highlight w:val="none"/>
        </w:rPr>
      </w:pPr>
      <w:r>
        <w:rPr>
          <w:rStyle w:val="32"/>
          <w:rFonts w:cs="Times New Roman"/>
          <w:color w:val="auto"/>
          <w:szCs w:val="24"/>
          <w:highlight w:val="none"/>
        </w:rPr>
        <w:t xml:space="preserve"> </w:t>
      </w:r>
    </w:p>
    <w:p>
      <w:pPr>
        <w:snapToGrid w:val="0"/>
        <w:spacing w:line="360" w:lineRule="auto"/>
        <w:rPr>
          <w:rStyle w:val="32"/>
          <w:rFonts w:cs="Times New Roman"/>
          <w:color w:val="auto"/>
          <w:sz w:val="20"/>
          <w:szCs w:val="24"/>
          <w:highlight w:val="none"/>
        </w:rPr>
      </w:pPr>
      <w:r>
        <w:rPr>
          <w:rStyle w:val="32"/>
          <w:rFonts w:cs="Times New Roman"/>
          <w:color w:val="auto"/>
          <w:szCs w:val="24"/>
          <w:highlight w:val="none"/>
        </w:rPr>
        <w:t xml:space="preserve">地址： </w:t>
      </w:r>
    </w:p>
    <w:p>
      <w:pPr>
        <w:snapToGrid w:val="0"/>
        <w:spacing w:line="360" w:lineRule="auto"/>
        <w:rPr>
          <w:rStyle w:val="32"/>
          <w:rFonts w:cs="Times New Roman"/>
          <w:color w:val="auto"/>
          <w:sz w:val="20"/>
          <w:szCs w:val="24"/>
          <w:highlight w:val="none"/>
        </w:rPr>
      </w:pPr>
      <w:r>
        <w:rPr>
          <w:rStyle w:val="32"/>
          <w:rFonts w:cs="Times New Roman"/>
          <w:color w:val="auto"/>
          <w:szCs w:val="24"/>
          <w:highlight w:val="none"/>
        </w:rPr>
        <w:t xml:space="preserve">邮编： </w:t>
      </w:r>
    </w:p>
    <w:p>
      <w:pPr>
        <w:snapToGrid w:val="0"/>
        <w:spacing w:line="360" w:lineRule="auto"/>
        <w:rPr>
          <w:rStyle w:val="32"/>
          <w:rFonts w:cs="Times New Roman"/>
          <w:color w:val="auto"/>
          <w:sz w:val="20"/>
          <w:szCs w:val="24"/>
          <w:highlight w:val="none"/>
        </w:rPr>
      </w:pPr>
      <w:r>
        <w:rPr>
          <w:rStyle w:val="32"/>
          <w:rFonts w:cs="Times New Roman"/>
          <w:color w:val="auto"/>
          <w:szCs w:val="24"/>
          <w:highlight w:val="none"/>
        </w:rPr>
        <w:t xml:space="preserve">电话： </w:t>
      </w:r>
    </w:p>
    <w:p>
      <w:pPr>
        <w:snapToGrid w:val="0"/>
        <w:spacing w:line="360" w:lineRule="auto"/>
        <w:rPr>
          <w:rStyle w:val="32"/>
          <w:rFonts w:cs="Times New Roman"/>
          <w:color w:val="auto"/>
          <w:sz w:val="20"/>
          <w:szCs w:val="24"/>
          <w:highlight w:val="none"/>
        </w:rPr>
      </w:pPr>
      <w:r>
        <w:rPr>
          <w:rStyle w:val="32"/>
          <w:rFonts w:cs="Times New Roman"/>
          <w:color w:val="auto"/>
          <w:szCs w:val="24"/>
          <w:highlight w:val="none"/>
        </w:rPr>
        <w:t xml:space="preserve">传真： </w:t>
      </w:r>
    </w:p>
    <w:p>
      <w:pPr>
        <w:snapToGrid w:val="0"/>
        <w:spacing w:line="360" w:lineRule="auto"/>
        <w:rPr>
          <w:rStyle w:val="32"/>
          <w:rFonts w:cs="Times New Roman"/>
          <w:color w:val="auto"/>
          <w:sz w:val="20"/>
          <w:szCs w:val="24"/>
          <w:highlight w:val="none"/>
        </w:rPr>
      </w:pPr>
      <w:r>
        <w:rPr>
          <w:rStyle w:val="32"/>
          <w:rFonts w:cs="Times New Roman"/>
          <w:color w:val="auto"/>
          <w:szCs w:val="24"/>
          <w:highlight w:val="none"/>
        </w:rPr>
        <w:t xml:space="preserve">投标人开户行： </w:t>
      </w:r>
    </w:p>
    <w:p>
      <w:pPr>
        <w:snapToGrid w:val="0"/>
        <w:spacing w:line="360" w:lineRule="auto"/>
        <w:rPr>
          <w:rStyle w:val="32"/>
          <w:rFonts w:cs="Times New Roman"/>
          <w:color w:val="auto"/>
          <w:sz w:val="20"/>
          <w:szCs w:val="24"/>
          <w:highlight w:val="none"/>
        </w:rPr>
      </w:pPr>
      <w:r>
        <w:rPr>
          <w:rStyle w:val="32"/>
          <w:rFonts w:cs="Times New Roman"/>
          <w:color w:val="auto"/>
          <w:szCs w:val="24"/>
          <w:highlight w:val="none"/>
        </w:rPr>
        <w:t xml:space="preserve">账户： </w:t>
      </w:r>
    </w:p>
    <w:p>
      <w:pPr>
        <w:snapToGrid w:val="0"/>
        <w:spacing w:line="360" w:lineRule="auto"/>
        <w:rPr>
          <w:rStyle w:val="32"/>
          <w:rFonts w:cs="Times New Roman"/>
          <w:color w:val="auto"/>
          <w:sz w:val="20"/>
          <w:szCs w:val="24"/>
          <w:highlight w:val="none"/>
        </w:rPr>
      </w:pPr>
      <w:r>
        <w:rPr>
          <w:rStyle w:val="32"/>
          <w:rFonts w:cs="Times New Roman"/>
          <w:color w:val="auto"/>
          <w:szCs w:val="24"/>
          <w:highlight w:val="none"/>
        </w:rPr>
        <w:t xml:space="preserve">投标人授权代表姓名（签字）： </w:t>
      </w:r>
    </w:p>
    <w:p>
      <w:pPr>
        <w:snapToGrid w:val="0"/>
        <w:spacing w:line="360" w:lineRule="auto"/>
        <w:rPr>
          <w:rStyle w:val="32"/>
          <w:rFonts w:cs="Times New Roman"/>
          <w:color w:val="auto"/>
          <w:sz w:val="20"/>
          <w:szCs w:val="24"/>
          <w:highlight w:val="none"/>
        </w:rPr>
      </w:pPr>
      <w:r>
        <w:rPr>
          <w:rStyle w:val="32"/>
          <w:rFonts w:cs="Times New Roman"/>
          <w:color w:val="auto"/>
          <w:szCs w:val="24"/>
          <w:highlight w:val="none"/>
        </w:rPr>
        <w:t xml:space="preserve">投标人名称（公章）：  </w:t>
      </w:r>
    </w:p>
    <w:p>
      <w:pPr>
        <w:snapToGrid w:val="0"/>
        <w:spacing w:line="360" w:lineRule="auto"/>
        <w:rPr>
          <w:rStyle w:val="32"/>
          <w:rFonts w:cs="Times New Roman"/>
          <w:color w:val="auto"/>
          <w:sz w:val="20"/>
          <w:szCs w:val="24"/>
          <w:highlight w:val="none"/>
        </w:rPr>
      </w:pPr>
      <w:r>
        <w:rPr>
          <w:rStyle w:val="32"/>
          <w:rFonts w:cs="Times New Roman"/>
          <w:color w:val="auto"/>
          <w:szCs w:val="24"/>
          <w:highlight w:val="none"/>
        </w:rPr>
        <w:t>日期：</w:t>
      </w:r>
    </w:p>
    <w:p>
      <w:pPr>
        <w:snapToGrid w:val="0"/>
        <w:spacing w:line="360" w:lineRule="auto"/>
        <w:jc w:val="left"/>
        <w:rPr>
          <w:rStyle w:val="32"/>
          <w:rFonts w:cs="Times New Roman"/>
          <w:b/>
          <w:bCs/>
          <w:color w:val="auto"/>
          <w:sz w:val="32"/>
          <w:szCs w:val="32"/>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rPr>
          <w:rFonts w:ascii="Times New Roman" w:cs="Times New Roman"/>
          <w:color w:val="auto"/>
          <w:highlight w:val="none"/>
        </w:rPr>
      </w:pPr>
    </w:p>
    <w:p>
      <w:pPr>
        <w:pStyle w:val="2"/>
        <w:ind w:left="0" w:leftChars="0" w:firstLine="0" w:firstLineChars="0"/>
        <w:rPr>
          <w:rStyle w:val="32"/>
          <w:rFonts w:ascii="Times New Roman" w:hAnsi="Times New Roman" w:eastAsia="宋体" w:cs="Times New Roman"/>
          <w:color w:val="auto"/>
          <w:sz w:val="24"/>
          <w:szCs w:val="24"/>
          <w:highlight w:val="none"/>
        </w:rPr>
      </w:pPr>
      <w:r>
        <w:rPr>
          <w:rFonts w:ascii="Times New Roman" w:cs="Times New Roman"/>
          <w:color w:val="auto"/>
          <w:highlight w:val="none"/>
        </w:rPr>
        <w:br w:type="page"/>
      </w:r>
      <w:r>
        <w:rPr>
          <w:rStyle w:val="32"/>
          <w:rFonts w:ascii="Times New Roman" w:hAnsi="Times New Roman" w:eastAsia="宋体" w:cs="Times New Roman"/>
          <w:color w:val="auto"/>
          <w:sz w:val="24"/>
          <w:szCs w:val="24"/>
          <w:highlight w:val="none"/>
        </w:rPr>
        <w:t>附件《供应商名录库管理办法》</w:t>
      </w:r>
      <w:r>
        <w:rPr>
          <w:rStyle w:val="32"/>
          <w:rFonts w:hint="eastAsia" w:ascii="Times New Roman" w:hAnsi="Times New Roman" w:eastAsia="宋体" w:cs="Times New Roman"/>
          <w:color w:val="auto"/>
          <w:sz w:val="24"/>
          <w:szCs w:val="24"/>
          <w:highlight w:val="none"/>
        </w:rPr>
        <w:t>（试行）</w:t>
      </w:r>
    </w:p>
    <w:p>
      <w:pPr>
        <w:pStyle w:val="2"/>
        <w:ind w:left="0" w:leftChars="0" w:firstLine="0" w:firstLineChars="0"/>
        <w:rPr>
          <w:rStyle w:val="32"/>
          <w:rFonts w:ascii="Times New Roman" w:hAnsi="Times New Roman" w:eastAsia="宋体" w:cs="Times New Roman"/>
          <w:color w:val="auto"/>
          <w:sz w:val="24"/>
          <w:szCs w:val="24"/>
          <w:highlight w:val="none"/>
        </w:rPr>
      </w:pPr>
    </w:p>
    <w:p>
      <w:pPr>
        <w:ind w:firstLineChars="0"/>
        <w:jc w:val="center"/>
        <w:rPr>
          <w:rFonts w:hint="eastAsia" w:ascii="Times New Roman" w:hAnsi="Times New Roman" w:eastAsia="微软雅黑"/>
          <w:b/>
          <w:color w:val="auto"/>
          <w:highlight w:val="none"/>
        </w:rPr>
      </w:pPr>
    </w:p>
    <w:p>
      <w:pPr>
        <w:ind w:firstLineChars="0"/>
        <w:jc w:val="center"/>
        <w:rPr>
          <w:rFonts w:hint="eastAsia" w:ascii="Times New Roman" w:hAnsi="Times New Roman" w:eastAsia="微软雅黑"/>
          <w:b/>
          <w:color w:val="auto"/>
          <w:highlight w:val="none"/>
        </w:rPr>
      </w:pPr>
    </w:p>
    <w:p>
      <w:pPr>
        <w:ind w:firstLineChars="0"/>
        <w:jc w:val="center"/>
        <w:rPr>
          <w:rFonts w:hint="eastAsia" w:ascii="Times New Roman" w:hAnsi="Times New Roman" w:eastAsia="微软雅黑"/>
          <w:b/>
          <w:color w:val="auto"/>
          <w:highlight w:val="none"/>
        </w:rPr>
      </w:pPr>
    </w:p>
    <w:p>
      <w:pPr>
        <w:ind w:firstLineChars="0"/>
        <w:jc w:val="center"/>
        <w:rPr>
          <w:rFonts w:ascii="Times New Roman" w:hAnsi="Times New Roman" w:eastAsia="微软雅黑"/>
          <w:b/>
          <w:color w:val="auto"/>
          <w:highlight w:val="none"/>
        </w:rPr>
      </w:pPr>
      <w:r>
        <w:rPr>
          <w:rFonts w:hint="eastAsia" w:eastAsia="微软雅黑"/>
          <w:b/>
          <w:color w:val="auto"/>
          <w:highlight w:val="none"/>
          <w:lang w:eastAsia="zh-CN"/>
        </w:rPr>
        <w:t>如皋市交通产业集团有限公司</w:t>
      </w:r>
      <w:r>
        <w:rPr>
          <w:rFonts w:ascii="Times New Roman" w:hAnsi="Times New Roman" w:eastAsia="微软雅黑"/>
          <w:b/>
          <w:color w:val="auto"/>
          <w:highlight w:val="none"/>
        </w:rPr>
        <w:t>建设工程</w:t>
      </w:r>
    </w:p>
    <w:p>
      <w:pPr>
        <w:ind w:firstLineChars="0"/>
        <w:jc w:val="center"/>
        <w:rPr>
          <w:rFonts w:ascii="Times New Roman" w:hAnsi="Times New Roman" w:eastAsia="微软雅黑"/>
          <w:b/>
          <w:color w:val="auto"/>
          <w:highlight w:val="none"/>
        </w:rPr>
      </w:pPr>
      <w:r>
        <w:rPr>
          <w:rFonts w:ascii="Times New Roman" w:hAnsi="Times New Roman" w:eastAsia="微软雅黑"/>
          <w:b/>
          <w:color w:val="auto"/>
          <w:highlight w:val="none"/>
        </w:rPr>
        <w:t>供应商名录库管理办法</w:t>
      </w:r>
      <w:r>
        <w:rPr>
          <w:rFonts w:hint="eastAsia" w:ascii="Times New Roman" w:hAnsi="Times New Roman" w:eastAsia="微软雅黑"/>
          <w:b/>
          <w:color w:val="auto"/>
          <w:highlight w:val="none"/>
        </w:rPr>
        <w:t>（试行）</w:t>
      </w:r>
    </w:p>
    <w:p>
      <w:pPr>
        <w:ind w:firstLineChars="0"/>
        <w:rPr>
          <w:rFonts w:hint="eastAsia" w:ascii="Times New Roman" w:hAnsi="Times New Roman" w:eastAsia="微软雅黑"/>
          <w:b/>
          <w:color w:val="auto"/>
          <w:highlight w:val="none"/>
        </w:rPr>
      </w:pPr>
    </w:p>
    <w:p>
      <w:pPr>
        <w:ind w:firstLineChars="0"/>
        <w:rPr>
          <w:rFonts w:hint="eastAsia" w:ascii="Times New Roman" w:hAnsi="Times New Roman" w:eastAsia="微软雅黑"/>
          <w:b/>
          <w:color w:val="auto"/>
          <w:highlight w:val="none"/>
        </w:rPr>
      </w:pPr>
    </w:p>
    <w:p>
      <w:pPr>
        <w:pStyle w:val="215"/>
        <w:numPr>
          <w:ilvl w:val="0"/>
          <w:numId w:val="10"/>
        </w:numPr>
        <w:ind w:left="0" w:firstLine="480"/>
        <w:rPr>
          <w:rFonts w:ascii="Times New Roman" w:hAnsi="Times New Roman"/>
          <w:color w:val="auto"/>
          <w:highlight w:val="none"/>
        </w:rPr>
      </w:pPr>
      <w:r>
        <w:rPr>
          <w:rFonts w:ascii="Times New Roman" w:hAnsi="Times New Roman"/>
          <w:color w:val="auto"/>
          <w:highlight w:val="none"/>
        </w:rPr>
        <w:t>为加强集团公司（以下简称“集团”）建设项目中的招标采购管理工作，统一发挥集团招标采购优势，积极推进集团公司下属工程承包企业依法、规范地选择工程分包单位、劳务分包单位及通用材料设备供应商及服务机构，确保集团建设项目招标（采购）活动的公平、透明、高效、廉洁，根据《中华人民共和国招标投标法》、《中华人民共和国政府采购法》、《中华人民共和国企业国有资产法》及其他相关法律、法规、规章、规范性文件等，结合本集团实际情况建立建设工程供应商名录库，特制定本办法。</w:t>
      </w:r>
    </w:p>
    <w:p>
      <w:pPr>
        <w:pStyle w:val="215"/>
        <w:numPr>
          <w:ilvl w:val="0"/>
          <w:numId w:val="10"/>
        </w:numPr>
        <w:ind w:left="0" w:firstLine="480"/>
        <w:rPr>
          <w:rFonts w:ascii="Times New Roman" w:hAnsi="Times New Roman"/>
          <w:color w:val="auto"/>
          <w:highlight w:val="none"/>
        </w:rPr>
      </w:pPr>
      <w:r>
        <w:rPr>
          <w:rFonts w:ascii="Times New Roman" w:hAnsi="Times New Roman"/>
          <w:color w:val="auto"/>
          <w:highlight w:val="none"/>
        </w:rPr>
        <w:t>本办法所称建设工程供应商名录库，用于以下两三个方面：</w:t>
      </w:r>
    </w:p>
    <w:p>
      <w:pPr>
        <w:pStyle w:val="215"/>
        <w:numPr>
          <w:ilvl w:val="0"/>
          <w:numId w:val="11"/>
        </w:numPr>
        <w:tabs>
          <w:tab w:val="left" w:pos="851"/>
        </w:tabs>
        <w:ind w:left="0" w:firstLine="480"/>
        <w:rPr>
          <w:rFonts w:ascii="Times New Roman" w:hAnsi="Times New Roman"/>
          <w:color w:val="auto"/>
          <w:highlight w:val="none"/>
        </w:rPr>
      </w:pPr>
      <w:r>
        <w:rPr>
          <w:rFonts w:ascii="Times New Roman" w:hAnsi="Times New Roman"/>
          <w:color w:val="auto"/>
          <w:highlight w:val="none"/>
        </w:rPr>
        <w:t>集团下属工程承包企业选择工程分包单位、劳务分包单位及通用材料设备供应商；</w:t>
      </w:r>
    </w:p>
    <w:p>
      <w:pPr>
        <w:pStyle w:val="215"/>
        <w:numPr>
          <w:ilvl w:val="0"/>
          <w:numId w:val="11"/>
        </w:numPr>
        <w:tabs>
          <w:tab w:val="left" w:pos="851"/>
        </w:tabs>
        <w:ind w:left="0" w:firstLine="480"/>
        <w:rPr>
          <w:rFonts w:ascii="Times New Roman" w:hAnsi="Times New Roman"/>
          <w:color w:val="auto"/>
          <w:highlight w:val="none"/>
        </w:rPr>
      </w:pPr>
      <w:r>
        <w:rPr>
          <w:rFonts w:ascii="Times New Roman" w:hAnsi="Times New Roman"/>
          <w:color w:val="auto"/>
          <w:highlight w:val="none"/>
        </w:rPr>
        <w:t>集团及下属企业投资建设、代建的，非必须招标的工程项目范围内选择工程承包单位、材料设备供应商、服务机构；</w:t>
      </w:r>
    </w:p>
    <w:p>
      <w:pPr>
        <w:tabs>
          <w:tab w:val="left" w:pos="851"/>
        </w:tabs>
        <w:ind w:firstLine="480"/>
        <w:rPr>
          <w:rFonts w:ascii="Times New Roman" w:hAnsi="Times New Roman"/>
          <w:color w:val="auto"/>
          <w:highlight w:val="none"/>
        </w:rPr>
      </w:pPr>
      <w:r>
        <w:rPr>
          <w:rFonts w:ascii="Times New Roman" w:hAnsi="Times New Roman"/>
          <w:color w:val="auto"/>
          <w:highlight w:val="none"/>
        </w:rPr>
        <w:t>3） 集团及下属企业选择工程建设领域的服务机构或中介机构。</w:t>
      </w:r>
    </w:p>
    <w:p>
      <w:pPr>
        <w:pStyle w:val="215"/>
        <w:numPr>
          <w:ilvl w:val="0"/>
          <w:numId w:val="10"/>
        </w:numPr>
        <w:ind w:left="0" w:firstLine="480"/>
        <w:rPr>
          <w:rFonts w:ascii="Times New Roman" w:hAnsi="Times New Roman"/>
          <w:color w:val="auto"/>
          <w:highlight w:val="none"/>
        </w:rPr>
      </w:pPr>
      <w:r>
        <w:rPr>
          <w:rFonts w:ascii="Times New Roman" w:hAnsi="Times New Roman"/>
          <w:color w:val="auto"/>
          <w:highlight w:val="none"/>
        </w:rPr>
        <w:t>本办法所称建设工程，是指集团及下属企业投资建设、代建的各类新建、改建、扩建、修缮、拆除、维护项目，以及集团下属工程承包企业所承包的各类建设工程。从集团公司业务发展情况及专业划分来说，建设工程分为房屋建筑工程、市政工程、公路工程、港口与航道工程、装饰工程、景观绿化工程。</w:t>
      </w:r>
    </w:p>
    <w:p>
      <w:pPr>
        <w:pStyle w:val="215"/>
        <w:numPr>
          <w:ilvl w:val="0"/>
          <w:numId w:val="10"/>
        </w:numPr>
        <w:ind w:left="0" w:firstLine="480"/>
        <w:rPr>
          <w:rFonts w:ascii="Times New Roman" w:hAnsi="Times New Roman"/>
          <w:color w:val="auto"/>
          <w:highlight w:val="none"/>
        </w:rPr>
      </w:pPr>
      <w:r>
        <w:rPr>
          <w:rFonts w:ascii="Times New Roman" w:hAnsi="Times New Roman"/>
          <w:color w:val="auto"/>
          <w:highlight w:val="none"/>
        </w:rPr>
        <w:t>本办法所称供应商，是指提供建设工程领域的施工、劳务分包、材料设备供应、技术咨询服务等企业的统称。供应商名录库是由集团公司依法选定的一批具有相应资质或技术能力的合格供应商组成。</w:t>
      </w:r>
    </w:p>
    <w:p>
      <w:pPr>
        <w:pStyle w:val="215"/>
        <w:ind w:left="480" w:firstLine="0" w:firstLineChars="0"/>
        <w:rPr>
          <w:rFonts w:ascii="Times New Roman" w:hAnsi="Times New Roman"/>
          <w:color w:val="auto"/>
          <w:highlight w:val="none"/>
        </w:rPr>
      </w:pPr>
      <w:r>
        <w:rPr>
          <w:rFonts w:ascii="Times New Roman" w:hAnsi="Times New Roman"/>
          <w:color w:val="auto"/>
          <w:highlight w:val="none"/>
        </w:rPr>
        <w:t>供应商名录库按专业划分为若干专业库，专业按照以下划分方式：</w:t>
      </w:r>
    </w:p>
    <w:p>
      <w:pPr>
        <w:pStyle w:val="215"/>
        <w:ind w:left="480" w:firstLine="0" w:firstLineChars="0"/>
        <w:jc w:val="center"/>
        <w:rPr>
          <w:rFonts w:ascii="Times New Roman" w:hAnsi="Times New Roman"/>
          <w:color w:val="auto"/>
          <w:highlight w:val="none"/>
        </w:rPr>
      </w:pPr>
      <w:r>
        <w:rPr>
          <w:rFonts w:ascii="Times New Roman" w:hAnsi="Times New Roman"/>
          <w:color w:val="auto"/>
          <w:highlight w:val="none"/>
        </w:rPr>
        <w:t>供应商名录库分类目录</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8"/>
        <w:gridCol w:w="27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tcPr>
          <w:p>
            <w:pPr>
              <w:pStyle w:val="215"/>
              <w:snapToGrid w:val="0"/>
              <w:spacing w:line="240" w:lineRule="auto"/>
              <w:ind w:firstLine="0" w:firstLineChars="0"/>
              <w:rPr>
                <w:rFonts w:ascii="Times New Roman" w:hAnsi="Times New Roman"/>
                <w:color w:val="auto"/>
                <w:sz w:val="21"/>
                <w:szCs w:val="21"/>
                <w:highlight w:val="none"/>
              </w:rPr>
            </w:pPr>
            <w:r>
              <w:rPr>
                <w:rFonts w:ascii="Times New Roman" w:hAnsi="Times New Roman"/>
                <w:color w:val="auto"/>
                <w:sz w:val="21"/>
                <w:szCs w:val="21"/>
                <w:highlight w:val="none"/>
              </w:rPr>
              <w:t>一级专业分类</w:t>
            </w:r>
          </w:p>
        </w:tc>
        <w:tc>
          <w:tcPr>
            <w:tcW w:w="2718" w:type="dxa"/>
          </w:tcPr>
          <w:p>
            <w:pPr>
              <w:pStyle w:val="215"/>
              <w:snapToGrid w:val="0"/>
              <w:spacing w:line="240" w:lineRule="auto"/>
              <w:ind w:firstLine="0" w:firstLineChars="0"/>
              <w:rPr>
                <w:rFonts w:ascii="Times New Roman" w:hAnsi="Times New Roman"/>
                <w:color w:val="auto"/>
                <w:sz w:val="21"/>
                <w:szCs w:val="21"/>
                <w:highlight w:val="none"/>
              </w:rPr>
            </w:pPr>
            <w:r>
              <w:rPr>
                <w:rFonts w:hint="eastAsia" w:ascii="Times New Roman" w:hAnsi="Times New Roman"/>
                <w:color w:val="auto"/>
                <w:sz w:val="21"/>
                <w:szCs w:val="21"/>
                <w:highlight w:val="none"/>
                <w:lang w:eastAsia="zh-CN"/>
              </w:rPr>
              <w:t>贰级</w:t>
            </w:r>
            <w:r>
              <w:rPr>
                <w:rFonts w:ascii="Times New Roman" w:hAnsi="Times New Roman"/>
                <w:color w:val="auto"/>
                <w:sz w:val="21"/>
                <w:szCs w:val="21"/>
                <w:highlight w:val="none"/>
              </w:rPr>
              <w:t>专业分类</w:t>
            </w:r>
          </w:p>
        </w:tc>
        <w:tc>
          <w:tcPr>
            <w:tcW w:w="1984" w:type="dxa"/>
          </w:tcPr>
          <w:p>
            <w:pPr>
              <w:pStyle w:val="215"/>
              <w:snapToGrid w:val="0"/>
              <w:spacing w:line="240" w:lineRule="auto"/>
              <w:ind w:firstLine="0" w:firstLineChars="0"/>
              <w:rPr>
                <w:rFonts w:ascii="Times New Roman" w:hAnsi="Times New Roman"/>
                <w:color w:val="auto"/>
                <w:sz w:val="21"/>
                <w:szCs w:val="21"/>
                <w:highlight w:val="none"/>
              </w:rPr>
            </w:pPr>
            <w:r>
              <w:rPr>
                <w:rFonts w:ascii="Times New Roman" w:hAnsi="Times New Roman"/>
                <w:color w:val="auto"/>
                <w:sz w:val="21"/>
                <w:szCs w:val="21"/>
                <w:highlight w:val="none"/>
              </w:rPr>
              <w:t>三级专业分类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restart"/>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工程分包商（承包商）</w:t>
            </w: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房屋建筑工程</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市政工程</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公路工程</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港口与航道工程</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装饰工程</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景观绿化工程</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restart"/>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劳务分包商</w:t>
            </w: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土建工程</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机电安装工程</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交安工程</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装饰工程</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景观绿化工程</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restart"/>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通用材料设备供应商</w:t>
            </w: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商品混凝土</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沥青混凝土</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波形板</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钢材</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电缆</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弱电线缆</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PVC管材</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镀锌钢管</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消防器材</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restart"/>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服务机构</w:t>
            </w:r>
          </w:p>
        </w:tc>
        <w:tc>
          <w:tcPr>
            <w:tcW w:w="2718" w:type="dxa"/>
            <w:vMerge w:val="restart"/>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设计单位</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建筑工程设计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市政工程设计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公路工程设计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水运工程设计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Merge w:val="restart"/>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监理单位</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建筑工程监理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市政工程监理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公路工程监理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港航工程监理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Merge w:val="restart"/>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检测单位</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见证取样检测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专项检测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招标代理单位</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vMerge w:val="continue"/>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c>
          <w:tcPr>
            <w:tcW w:w="271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造价咨询单位</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p>
        </w:tc>
      </w:tr>
    </w:tbl>
    <w:p>
      <w:pPr>
        <w:pStyle w:val="215"/>
        <w:ind w:left="480" w:firstLine="0" w:firstLineChars="0"/>
        <w:rPr>
          <w:rFonts w:ascii="Times New Roman" w:hAnsi="Times New Roman"/>
          <w:color w:val="auto"/>
          <w:highlight w:val="none"/>
        </w:rPr>
      </w:pPr>
    </w:p>
    <w:p>
      <w:pPr>
        <w:pStyle w:val="215"/>
        <w:numPr>
          <w:ilvl w:val="0"/>
          <w:numId w:val="10"/>
        </w:numPr>
        <w:ind w:left="0" w:firstLine="480"/>
        <w:rPr>
          <w:rFonts w:ascii="Times New Roman" w:hAnsi="Times New Roman"/>
          <w:color w:val="auto"/>
          <w:highlight w:val="none"/>
        </w:rPr>
      </w:pPr>
      <w:r>
        <w:rPr>
          <w:rFonts w:ascii="Times New Roman" w:hAnsi="Times New Roman"/>
          <w:color w:val="auto"/>
          <w:highlight w:val="none"/>
        </w:rPr>
        <w:t>供应商名录库由集团工程管理中心牵头组织组建、管理、更新、考核与维护，由集团纪委监督实施。集团工程管理中心将适时向集团相关部门及各成员公司发布最新的供应商名录库信息。</w:t>
      </w:r>
    </w:p>
    <w:p>
      <w:pPr>
        <w:pStyle w:val="215"/>
        <w:ind w:left="480" w:firstLine="0" w:firstLineChars="0"/>
        <w:rPr>
          <w:rFonts w:ascii="Times New Roman" w:hAnsi="Times New Roman"/>
          <w:color w:val="auto"/>
          <w:highlight w:val="none"/>
        </w:rPr>
      </w:pPr>
      <w:r>
        <w:rPr>
          <w:rFonts w:ascii="Times New Roman" w:hAnsi="Times New Roman"/>
          <w:color w:val="auto"/>
          <w:highlight w:val="none"/>
        </w:rPr>
        <w:t>供应商名录库信息表格式见附件1</w:t>
      </w:r>
    </w:p>
    <w:p>
      <w:pPr>
        <w:pStyle w:val="215"/>
        <w:numPr>
          <w:ilvl w:val="0"/>
          <w:numId w:val="12"/>
        </w:numPr>
        <w:tabs>
          <w:tab w:val="left" w:pos="567"/>
        </w:tabs>
        <w:ind w:left="426" w:hanging="426" w:firstLineChars="0"/>
        <w:rPr>
          <w:rFonts w:ascii="Times New Roman" w:hAnsi="Times New Roman" w:eastAsia="黑体"/>
          <w:color w:val="auto"/>
          <w:highlight w:val="none"/>
        </w:rPr>
      </w:pPr>
      <w:r>
        <w:rPr>
          <w:rFonts w:ascii="Times New Roman" w:hAnsi="Times New Roman" w:eastAsia="黑体"/>
          <w:color w:val="auto"/>
          <w:highlight w:val="none"/>
        </w:rPr>
        <w:t>供应商名录库的组建</w:t>
      </w:r>
    </w:p>
    <w:p>
      <w:pPr>
        <w:pStyle w:val="215"/>
        <w:numPr>
          <w:ilvl w:val="0"/>
          <w:numId w:val="10"/>
        </w:numPr>
        <w:ind w:left="0" w:firstLine="480"/>
        <w:rPr>
          <w:rFonts w:ascii="Times New Roman" w:hAnsi="Times New Roman"/>
          <w:color w:val="auto"/>
          <w:highlight w:val="none"/>
        </w:rPr>
      </w:pPr>
      <w:r>
        <w:rPr>
          <w:rFonts w:ascii="Times New Roman" w:hAnsi="Times New Roman"/>
          <w:color w:val="auto"/>
          <w:highlight w:val="none"/>
        </w:rPr>
        <w:t>合格供应商的选定。由集团工程管理中心采用公开招标的方式选定各专业的合格供应商名单，作为首批供应商名录库成员单位。</w:t>
      </w:r>
    </w:p>
    <w:p>
      <w:pPr>
        <w:pStyle w:val="215"/>
        <w:numPr>
          <w:ilvl w:val="0"/>
          <w:numId w:val="10"/>
        </w:numPr>
        <w:ind w:left="0" w:firstLine="480"/>
        <w:rPr>
          <w:rFonts w:ascii="Times New Roman" w:hAnsi="Times New Roman"/>
          <w:color w:val="auto"/>
          <w:highlight w:val="none"/>
        </w:rPr>
      </w:pPr>
      <w:r>
        <w:rPr>
          <w:rFonts w:ascii="Times New Roman" w:hAnsi="Times New Roman"/>
          <w:color w:val="auto"/>
          <w:highlight w:val="none"/>
        </w:rPr>
        <w:t>集团工程管理中心负责组织入库招标工作，按照供应商名录库一级专业分类分别编制工程承包商入库招标文件、劳务分包商入库招标文件、通用材料设备供应商入库招标文件与服务机构入库招标文件。其中，工程承包商入库招标、劳务分包商入库招标、通用材料设备供应商入库招标按照</w:t>
      </w:r>
      <w:r>
        <w:rPr>
          <w:rFonts w:hint="eastAsia" w:ascii="Times New Roman" w:hAnsi="Times New Roman"/>
          <w:color w:val="auto"/>
          <w:highlight w:val="none"/>
          <w:lang w:eastAsia="zh-CN"/>
        </w:rPr>
        <w:t>贰级</w:t>
      </w:r>
      <w:r>
        <w:rPr>
          <w:rFonts w:ascii="Times New Roman" w:hAnsi="Times New Roman"/>
          <w:color w:val="auto"/>
          <w:highlight w:val="none"/>
        </w:rPr>
        <w:t>专业分类设置标段划分；服务机构入库按照</w:t>
      </w:r>
      <w:r>
        <w:rPr>
          <w:rFonts w:hint="eastAsia" w:ascii="Times New Roman" w:hAnsi="Times New Roman"/>
          <w:color w:val="auto"/>
          <w:highlight w:val="none"/>
          <w:lang w:eastAsia="zh-CN"/>
        </w:rPr>
        <w:t>贰级</w:t>
      </w:r>
      <w:r>
        <w:rPr>
          <w:rFonts w:ascii="Times New Roman" w:hAnsi="Times New Roman"/>
          <w:color w:val="auto"/>
          <w:highlight w:val="none"/>
        </w:rPr>
        <w:t>专业分类及三级专业分类设置标段划分。</w:t>
      </w:r>
    </w:p>
    <w:p>
      <w:pPr>
        <w:pStyle w:val="215"/>
        <w:numPr>
          <w:ilvl w:val="0"/>
          <w:numId w:val="10"/>
        </w:numPr>
        <w:ind w:left="0" w:firstLine="480"/>
        <w:rPr>
          <w:rFonts w:ascii="Times New Roman" w:hAnsi="Times New Roman"/>
          <w:color w:val="auto"/>
          <w:highlight w:val="none"/>
        </w:rPr>
      </w:pPr>
      <w:r>
        <w:rPr>
          <w:rFonts w:ascii="Times New Roman" w:hAnsi="Times New Roman"/>
          <w:color w:val="auto"/>
          <w:highlight w:val="none"/>
        </w:rPr>
        <w:t>招标公告、招标文件等文件编制完成后，应按照集团招标采购的相关管理制度、办法进行审核、审批后方可发布。招标过程由集团纪委实施监督与检查。</w:t>
      </w:r>
    </w:p>
    <w:p>
      <w:pPr>
        <w:pStyle w:val="215"/>
        <w:numPr>
          <w:ilvl w:val="0"/>
          <w:numId w:val="10"/>
        </w:numPr>
        <w:ind w:left="0" w:firstLine="480"/>
        <w:rPr>
          <w:rFonts w:ascii="Times New Roman" w:hAnsi="Times New Roman"/>
          <w:color w:val="auto"/>
          <w:highlight w:val="none"/>
        </w:rPr>
      </w:pPr>
      <w:r>
        <w:rPr>
          <w:rFonts w:ascii="Times New Roman" w:hAnsi="Times New Roman"/>
          <w:color w:val="auto"/>
          <w:highlight w:val="none"/>
        </w:rPr>
        <w:t>各标段中标人数量设定如下：</w:t>
      </w:r>
    </w:p>
    <w:p>
      <w:pPr>
        <w:pStyle w:val="215"/>
        <w:numPr>
          <w:ilvl w:val="1"/>
          <w:numId w:val="10"/>
        </w:numPr>
        <w:tabs>
          <w:tab w:val="left" w:pos="851"/>
        </w:tabs>
        <w:ind w:left="0" w:firstLine="480"/>
        <w:rPr>
          <w:rFonts w:ascii="Times New Roman" w:hAnsi="Times New Roman"/>
          <w:color w:val="auto"/>
          <w:highlight w:val="none"/>
        </w:rPr>
      </w:pPr>
      <w:r>
        <w:rPr>
          <w:rFonts w:ascii="Times New Roman" w:hAnsi="Times New Roman"/>
          <w:color w:val="auto"/>
          <w:highlight w:val="none"/>
        </w:rPr>
        <w:t>工程分包商（承包商）各标段的中标人数量不得少于7家，不大于有效投标人数量的20%；有效投标人数量的20%小于等于7家时，全部入选；</w:t>
      </w:r>
    </w:p>
    <w:p>
      <w:pPr>
        <w:pStyle w:val="215"/>
        <w:numPr>
          <w:ilvl w:val="1"/>
          <w:numId w:val="10"/>
        </w:numPr>
        <w:tabs>
          <w:tab w:val="left" w:pos="851"/>
        </w:tabs>
        <w:ind w:left="0" w:firstLine="480"/>
        <w:rPr>
          <w:rFonts w:ascii="Times New Roman" w:hAnsi="Times New Roman"/>
          <w:color w:val="auto"/>
          <w:highlight w:val="none"/>
        </w:rPr>
      </w:pPr>
      <w:r>
        <w:rPr>
          <w:rFonts w:ascii="Times New Roman" w:hAnsi="Times New Roman"/>
          <w:color w:val="auto"/>
          <w:highlight w:val="none"/>
        </w:rPr>
        <w:t>劳务分包商各标段、通用材料设备供应商各标段的中标人数量不得少于5家，不大于有效投标人数量的20%，有效投标人数量的20%小于等于5家时，全部入选；</w:t>
      </w:r>
    </w:p>
    <w:p>
      <w:pPr>
        <w:pStyle w:val="215"/>
        <w:numPr>
          <w:ilvl w:val="1"/>
          <w:numId w:val="10"/>
        </w:numPr>
        <w:tabs>
          <w:tab w:val="left" w:pos="851"/>
        </w:tabs>
        <w:ind w:left="0" w:firstLine="480"/>
        <w:rPr>
          <w:rFonts w:ascii="Times New Roman" w:hAnsi="Times New Roman"/>
          <w:color w:val="auto"/>
          <w:highlight w:val="none"/>
        </w:rPr>
      </w:pPr>
      <w:r>
        <w:rPr>
          <w:rFonts w:ascii="Times New Roman" w:hAnsi="Times New Roman"/>
          <w:color w:val="auto"/>
          <w:highlight w:val="none"/>
        </w:rPr>
        <w:t>服务机构各标段的中标人数量不得少于3家，不大于有效投标人数量的20%，有效投标人数量的20%小于等于3家时，全部入选；</w:t>
      </w:r>
    </w:p>
    <w:p>
      <w:pPr>
        <w:pStyle w:val="215"/>
        <w:numPr>
          <w:ilvl w:val="0"/>
          <w:numId w:val="10"/>
        </w:numPr>
        <w:tabs>
          <w:tab w:val="left" w:pos="1276"/>
        </w:tabs>
        <w:ind w:left="0" w:firstLine="480"/>
        <w:rPr>
          <w:rFonts w:ascii="Times New Roman" w:hAnsi="Times New Roman"/>
          <w:color w:val="auto"/>
          <w:highlight w:val="none"/>
        </w:rPr>
      </w:pPr>
      <w:r>
        <w:rPr>
          <w:rFonts w:ascii="Times New Roman" w:hAnsi="Times New Roman"/>
          <w:color w:val="auto"/>
          <w:highlight w:val="none"/>
        </w:rPr>
        <w:t>招标结束后，集团工程管理中心按照各标段的中标人名单组建供应商名录库，并报集团批复。批复后的供应商名录库及时向集团相关部门及各成员公司发布。</w:t>
      </w:r>
    </w:p>
    <w:p>
      <w:pPr>
        <w:pStyle w:val="215"/>
        <w:numPr>
          <w:ilvl w:val="0"/>
          <w:numId w:val="10"/>
        </w:numPr>
        <w:tabs>
          <w:tab w:val="left" w:pos="1560"/>
        </w:tabs>
        <w:ind w:left="0" w:firstLine="480"/>
        <w:rPr>
          <w:rFonts w:ascii="Times New Roman" w:hAnsi="Times New Roman"/>
          <w:color w:val="auto"/>
          <w:highlight w:val="none"/>
        </w:rPr>
      </w:pPr>
      <w:r>
        <w:rPr>
          <w:rFonts w:ascii="Times New Roman" w:hAnsi="Times New Roman"/>
          <w:color w:val="auto"/>
          <w:highlight w:val="none"/>
        </w:rPr>
        <w:t>集团工程管理中心负责建立并保管供应商名录库档案系统，每个供应商建立一份独立档案，档案内容至少包含以下内容：</w:t>
      </w:r>
    </w:p>
    <w:p>
      <w:pPr>
        <w:pStyle w:val="215"/>
        <w:numPr>
          <w:ilvl w:val="1"/>
          <w:numId w:val="10"/>
        </w:numPr>
        <w:tabs>
          <w:tab w:val="left" w:pos="993"/>
        </w:tabs>
        <w:ind w:left="0" w:firstLine="480"/>
        <w:rPr>
          <w:rFonts w:ascii="Times New Roman" w:hAnsi="Times New Roman"/>
          <w:color w:val="auto"/>
          <w:highlight w:val="none"/>
        </w:rPr>
      </w:pPr>
      <w:r>
        <w:rPr>
          <w:rFonts w:ascii="Times New Roman" w:hAnsi="Times New Roman"/>
          <w:color w:val="auto"/>
          <w:highlight w:val="none"/>
        </w:rPr>
        <w:t>供应商基本情况登记表（格式详见附2）</w:t>
      </w:r>
    </w:p>
    <w:p>
      <w:pPr>
        <w:pStyle w:val="215"/>
        <w:numPr>
          <w:ilvl w:val="1"/>
          <w:numId w:val="10"/>
        </w:numPr>
        <w:tabs>
          <w:tab w:val="left" w:pos="993"/>
        </w:tabs>
        <w:ind w:left="0" w:firstLine="480"/>
        <w:rPr>
          <w:rFonts w:ascii="Times New Roman" w:hAnsi="Times New Roman"/>
          <w:color w:val="auto"/>
          <w:highlight w:val="none"/>
        </w:rPr>
      </w:pPr>
      <w:r>
        <w:rPr>
          <w:rFonts w:ascii="Times New Roman" w:hAnsi="Times New Roman"/>
          <w:color w:val="auto"/>
          <w:highlight w:val="none"/>
        </w:rPr>
        <w:t>供应商业务承接情况一览表</w:t>
      </w:r>
    </w:p>
    <w:p>
      <w:pPr>
        <w:pStyle w:val="215"/>
        <w:numPr>
          <w:ilvl w:val="1"/>
          <w:numId w:val="10"/>
        </w:numPr>
        <w:tabs>
          <w:tab w:val="left" w:pos="993"/>
        </w:tabs>
        <w:ind w:left="0" w:firstLine="480"/>
        <w:rPr>
          <w:rFonts w:ascii="Times New Roman" w:hAnsi="Times New Roman"/>
          <w:color w:val="auto"/>
          <w:highlight w:val="none"/>
        </w:rPr>
      </w:pPr>
      <w:r>
        <w:rPr>
          <w:rFonts w:ascii="Times New Roman" w:hAnsi="Times New Roman"/>
          <w:color w:val="auto"/>
          <w:highlight w:val="none"/>
        </w:rPr>
        <w:t>供应商履约考核记录</w:t>
      </w:r>
    </w:p>
    <w:p>
      <w:pPr>
        <w:pStyle w:val="215"/>
        <w:numPr>
          <w:ilvl w:val="1"/>
          <w:numId w:val="10"/>
        </w:numPr>
        <w:tabs>
          <w:tab w:val="left" w:pos="993"/>
        </w:tabs>
        <w:ind w:left="0" w:firstLine="480"/>
        <w:rPr>
          <w:rFonts w:ascii="Times New Roman" w:hAnsi="Times New Roman"/>
          <w:color w:val="auto"/>
          <w:highlight w:val="none"/>
        </w:rPr>
      </w:pPr>
      <w:r>
        <w:rPr>
          <w:rFonts w:ascii="Times New Roman" w:hAnsi="Times New Roman"/>
          <w:color w:val="auto"/>
          <w:highlight w:val="none"/>
        </w:rPr>
        <w:t>供应商信息更新记录</w:t>
      </w:r>
    </w:p>
    <w:p>
      <w:pPr>
        <w:pStyle w:val="215"/>
        <w:numPr>
          <w:ilvl w:val="0"/>
          <w:numId w:val="10"/>
        </w:numPr>
        <w:tabs>
          <w:tab w:val="left" w:pos="1560"/>
        </w:tabs>
        <w:ind w:left="0" w:firstLine="480"/>
        <w:rPr>
          <w:rFonts w:ascii="Times New Roman" w:hAnsi="Times New Roman"/>
          <w:color w:val="auto"/>
          <w:highlight w:val="none"/>
        </w:rPr>
      </w:pPr>
      <w:r>
        <w:rPr>
          <w:rFonts w:ascii="Times New Roman" w:hAnsi="Times New Roman"/>
          <w:color w:val="auto"/>
          <w:highlight w:val="none"/>
        </w:rPr>
        <w:t>供应商名录库有效期为</w:t>
      </w:r>
      <w:r>
        <w:rPr>
          <w:rFonts w:hint="eastAsia" w:ascii="Times New Roman" w:hAnsi="Times New Roman"/>
          <w:color w:val="auto"/>
          <w:highlight w:val="none"/>
          <w:lang w:val="en-US" w:eastAsia="zh-CN"/>
        </w:rPr>
        <w:t>1</w:t>
      </w:r>
      <w:r>
        <w:rPr>
          <w:rFonts w:ascii="Times New Roman" w:hAnsi="Times New Roman"/>
          <w:color w:val="auto"/>
          <w:highlight w:val="none"/>
        </w:rPr>
        <w:t>年，有效期满后实行一轮更新。上一轮供应商名录库中信用等级为“A”的企业直接进入下一轮供应商名录库。供应商名录库更新同样采用公开招标的方式进行，入库单位数量采用差额补充方式确定。</w:t>
      </w:r>
    </w:p>
    <w:p>
      <w:pPr>
        <w:pStyle w:val="215"/>
        <w:numPr>
          <w:ilvl w:val="0"/>
          <w:numId w:val="12"/>
        </w:numPr>
        <w:tabs>
          <w:tab w:val="left" w:pos="567"/>
        </w:tabs>
        <w:ind w:left="426" w:hanging="426" w:firstLineChars="0"/>
        <w:rPr>
          <w:rFonts w:ascii="Times New Roman" w:hAnsi="Times New Roman" w:eastAsia="黑体"/>
          <w:color w:val="auto"/>
          <w:highlight w:val="none"/>
        </w:rPr>
      </w:pPr>
      <w:r>
        <w:rPr>
          <w:rFonts w:ascii="Times New Roman" w:hAnsi="Times New Roman" w:eastAsia="黑体"/>
          <w:color w:val="auto"/>
          <w:highlight w:val="none"/>
        </w:rPr>
        <w:t>供应商名录库的使用</w:t>
      </w:r>
    </w:p>
    <w:p>
      <w:pPr>
        <w:pStyle w:val="215"/>
        <w:numPr>
          <w:ilvl w:val="0"/>
          <w:numId w:val="10"/>
        </w:numPr>
        <w:tabs>
          <w:tab w:val="left" w:pos="1560"/>
        </w:tabs>
        <w:ind w:left="0" w:firstLine="480"/>
        <w:rPr>
          <w:rFonts w:ascii="Times New Roman" w:hAnsi="Times New Roman"/>
          <w:color w:val="auto"/>
          <w:highlight w:val="none"/>
        </w:rPr>
      </w:pPr>
      <w:r>
        <w:rPr>
          <w:rFonts w:ascii="Times New Roman" w:hAnsi="Times New Roman"/>
          <w:color w:val="auto"/>
          <w:highlight w:val="none"/>
        </w:rPr>
        <w:t>集团下属工程承包企业在选择工程分包商、劳务分包商时，应从供应商名录库中邀请不少于5家合格供应商采用邀请招标的方式确定工程分包商、劳务分包商；集团下属工程承包企业在选择通用材料设备供应商时，应从供应商名录库中邀请不少于3家合格供应商采用竞争性谈判、询价的方式确定材料设备供应商。</w:t>
      </w:r>
    </w:p>
    <w:p>
      <w:pPr>
        <w:pStyle w:val="215"/>
        <w:ind w:firstLine="480"/>
        <w:rPr>
          <w:rFonts w:ascii="Times New Roman" w:hAnsi="Times New Roman"/>
          <w:color w:val="auto"/>
          <w:highlight w:val="none"/>
        </w:rPr>
      </w:pPr>
      <w:r>
        <w:rPr>
          <w:rFonts w:ascii="Times New Roman" w:hAnsi="Times New Roman"/>
          <w:color w:val="auto"/>
          <w:highlight w:val="none"/>
        </w:rPr>
        <w:t>邀请招标、竞争性谈判、询价工作由集团工程管理中心组织实施，招标采购需求单位协助配合。邀请名单由工程承包企业及集团工程管理中心共同申报，报集团审批。建设单位如有推荐单位，应通过资格审查后方可参与投标或谈判。</w:t>
      </w:r>
    </w:p>
    <w:p>
      <w:pPr>
        <w:pStyle w:val="215"/>
        <w:numPr>
          <w:ilvl w:val="0"/>
          <w:numId w:val="10"/>
        </w:numPr>
        <w:tabs>
          <w:tab w:val="left" w:pos="1560"/>
        </w:tabs>
        <w:ind w:left="0" w:firstLine="480"/>
        <w:rPr>
          <w:rFonts w:ascii="Times New Roman" w:hAnsi="Times New Roman"/>
          <w:color w:val="auto"/>
          <w:highlight w:val="none"/>
        </w:rPr>
      </w:pPr>
      <w:r>
        <w:rPr>
          <w:rFonts w:ascii="Times New Roman" w:hAnsi="Times New Roman"/>
          <w:color w:val="auto"/>
          <w:highlight w:val="none"/>
        </w:rPr>
        <w:t>集团及下属企业投资建设、代建的，且属非必须招标的工程项目选择工程承包单位、材料设备供应商时，其方式同第十三条规定。其中，邀请名单由下属企业主要负责人及集团工程管理中心共同申报，报集团审批。</w:t>
      </w:r>
    </w:p>
    <w:p>
      <w:pPr>
        <w:pStyle w:val="215"/>
        <w:numPr>
          <w:ilvl w:val="0"/>
          <w:numId w:val="10"/>
        </w:numPr>
        <w:tabs>
          <w:tab w:val="left" w:pos="1560"/>
        </w:tabs>
        <w:ind w:left="0" w:firstLine="480"/>
        <w:rPr>
          <w:rFonts w:ascii="Times New Roman" w:hAnsi="Times New Roman"/>
          <w:color w:val="auto"/>
          <w:highlight w:val="none"/>
        </w:rPr>
      </w:pPr>
      <w:r>
        <w:rPr>
          <w:rFonts w:ascii="Times New Roman" w:hAnsi="Times New Roman"/>
          <w:color w:val="auto"/>
          <w:highlight w:val="none"/>
        </w:rPr>
        <w:t>服务机构的选择由集团工程管理中心直接负责。</w:t>
      </w:r>
    </w:p>
    <w:p>
      <w:pPr>
        <w:pStyle w:val="215"/>
        <w:numPr>
          <w:ilvl w:val="0"/>
          <w:numId w:val="10"/>
        </w:numPr>
        <w:tabs>
          <w:tab w:val="left" w:pos="1560"/>
        </w:tabs>
        <w:ind w:left="0" w:firstLine="480"/>
        <w:rPr>
          <w:rFonts w:ascii="Times New Roman" w:hAnsi="Times New Roman"/>
          <w:color w:val="auto"/>
          <w:highlight w:val="none"/>
        </w:rPr>
      </w:pPr>
      <w:r>
        <w:rPr>
          <w:rFonts w:ascii="Times New Roman" w:hAnsi="Times New Roman"/>
          <w:color w:val="auto"/>
          <w:highlight w:val="none"/>
        </w:rPr>
        <w:t>邀请招标、竞争性谈判、询价工作按照现行法律、法规及集团相关管理办法明确的程序与规定实施。评标方式原则上采用经评审的最低价法。为确保评审的公平、公正性，严格控制工程成本，杜绝受邀单位围标、串标现象，集团工程管理中心应加强对投标文件的审核，通过清标、回标分析、谈判、二次报价等程序提高投标人报价的合理性，集团纪委负责监督、检查上述流程。</w:t>
      </w:r>
    </w:p>
    <w:p>
      <w:pPr>
        <w:pStyle w:val="215"/>
        <w:numPr>
          <w:ilvl w:val="0"/>
          <w:numId w:val="10"/>
        </w:numPr>
        <w:tabs>
          <w:tab w:val="left" w:pos="1560"/>
        </w:tabs>
        <w:ind w:left="0" w:firstLine="480"/>
        <w:rPr>
          <w:rFonts w:ascii="Times New Roman" w:hAnsi="Times New Roman"/>
          <w:color w:val="auto"/>
          <w:highlight w:val="none"/>
        </w:rPr>
      </w:pPr>
      <w:r>
        <w:rPr>
          <w:rFonts w:ascii="Times New Roman" w:hAnsi="Times New Roman"/>
          <w:color w:val="auto"/>
          <w:highlight w:val="none"/>
        </w:rPr>
        <w:t>选定的供应商与各招标采购需求单位签订合同。合同签订后需按照集团工程管理中心要求提交合同备案。</w:t>
      </w:r>
    </w:p>
    <w:p>
      <w:pPr>
        <w:pStyle w:val="215"/>
        <w:numPr>
          <w:ilvl w:val="0"/>
          <w:numId w:val="10"/>
        </w:numPr>
        <w:tabs>
          <w:tab w:val="left" w:pos="1560"/>
        </w:tabs>
        <w:ind w:left="0" w:firstLine="480"/>
        <w:rPr>
          <w:rFonts w:ascii="Times New Roman" w:hAnsi="Times New Roman"/>
          <w:color w:val="auto"/>
          <w:highlight w:val="none"/>
        </w:rPr>
      </w:pPr>
      <w:r>
        <w:rPr>
          <w:rFonts w:ascii="Times New Roman" w:hAnsi="Times New Roman"/>
          <w:color w:val="auto"/>
          <w:highlight w:val="none"/>
        </w:rPr>
        <w:t>各招标采购需求单位负责按照合同约定对供应商进行履约考核，及时将供应商履约状况向集团工程管理中心报备。</w:t>
      </w:r>
    </w:p>
    <w:p>
      <w:pPr>
        <w:pStyle w:val="215"/>
        <w:numPr>
          <w:ilvl w:val="0"/>
          <w:numId w:val="12"/>
        </w:numPr>
        <w:tabs>
          <w:tab w:val="left" w:pos="567"/>
        </w:tabs>
        <w:ind w:left="426" w:hanging="426" w:firstLineChars="0"/>
        <w:rPr>
          <w:rFonts w:ascii="Times New Roman" w:hAnsi="Times New Roman" w:eastAsia="黑体"/>
          <w:color w:val="auto"/>
          <w:highlight w:val="none"/>
        </w:rPr>
      </w:pPr>
      <w:r>
        <w:rPr>
          <w:rFonts w:ascii="Times New Roman" w:hAnsi="Times New Roman" w:eastAsia="黑体"/>
          <w:color w:val="auto"/>
          <w:highlight w:val="none"/>
        </w:rPr>
        <w:t>供应商的考核</w:t>
      </w:r>
    </w:p>
    <w:p>
      <w:pPr>
        <w:pStyle w:val="215"/>
        <w:numPr>
          <w:ilvl w:val="0"/>
          <w:numId w:val="10"/>
        </w:numPr>
        <w:tabs>
          <w:tab w:val="left" w:pos="1560"/>
        </w:tabs>
        <w:ind w:left="0" w:firstLine="480"/>
        <w:rPr>
          <w:rFonts w:ascii="Times New Roman" w:hAnsi="Times New Roman"/>
          <w:color w:val="auto"/>
          <w:highlight w:val="none"/>
        </w:rPr>
      </w:pPr>
      <w:r>
        <w:rPr>
          <w:rFonts w:ascii="Times New Roman" w:hAnsi="Times New Roman"/>
          <w:color w:val="auto"/>
          <w:highlight w:val="none"/>
        </w:rPr>
        <w:t>集团对供应商名录库内企业实施履约考核管理，考核的主要内容为供应商的履约表现、企业信誉与项目团队的技术能力。考核工作由集团工程管理中心牵头组织实施，各招标采购需求单位参与考核，集团纪委监督检查。</w:t>
      </w:r>
    </w:p>
    <w:p>
      <w:pPr>
        <w:pStyle w:val="215"/>
        <w:numPr>
          <w:ilvl w:val="0"/>
          <w:numId w:val="10"/>
        </w:numPr>
        <w:tabs>
          <w:tab w:val="left" w:pos="1560"/>
        </w:tabs>
        <w:ind w:left="0" w:firstLine="480"/>
        <w:rPr>
          <w:rFonts w:ascii="Times New Roman" w:hAnsi="Times New Roman"/>
          <w:color w:val="auto"/>
          <w:highlight w:val="none"/>
        </w:rPr>
      </w:pPr>
      <w:r>
        <w:rPr>
          <w:rFonts w:ascii="Times New Roman" w:hAnsi="Times New Roman"/>
          <w:color w:val="auto"/>
          <w:highlight w:val="none"/>
        </w:rPr>
        <w:t>考核环节从供应商参加招采活动至履约完成、结算审核完成为止。</w:t>
      </w:r>
    </w:p>
    <w:p>
      <w:pPr>
        <w:pStyle w:val="215"/>
        <w:numPr>
          <w:ilvl w:val="0"/>
          <w:numId w:val="10"/>
        </w:numPr>
        <w:tabs>
          <w:tab w:val="left" w:pos="1843"/>
        </w:tabs>
        <w:ind w:left="0" w:firstLine="480"/>
        <w:rPr>
          <w:rFonts w:ascii="Times New Roman" w:hAnsi="Times New Roman"/>
          <w:color w:val="auto"/>
          <w:highlight w:val="none"/>
        </w:rPr>
      </w:pPr>
      <w:r>
        <w:rPr>
          <w:rFonts w:ascii="Times New Roman" w:hAnsi="Times New Roman"/>
          <w:color w:val="auto"/>
          <w:highlight w:val="none"/>
        </w:rPr>
        <w:t>供应商名录库实行供应商信用分级管理，信用等级分为A、B、C、D四级，各级履约信誉描述如下：</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09"/>
        <w:gridCol w:w="3686"/>
        <w:gridCol w:w="1984"/>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15"/>
              <w:snapToGrid w:val="0"/>
              <w:spacing w:line="240" w:lineRule="auto"/>
              <w:ind w:firstLine="0" w:firstLineChars="0"/>
              <w:jc w:val="center"/>
              <w:rPr>
                <w:rFonts w:ascii="Times New Roman" w:hAnsi="Times New Roman"/>
                <w:b/>
                <w:color w:val="auto"/>
                <w:sz w:val="21"/>
                <w:szCs w:val="21"/>
                <w:highlight w:val="none"/>
              </w:rPr>
            </w:pPr>
            <w:r>
              <w:rPr>
                <w:rFonts w:ascii="Times New Roman" w:hAnsi="Times New Roman"/>
                <w:b/>
                <w:color w:val="auto"/>
                <w:sz w:val="21"/>
                <w:szCs w:val="21"/>
                <w:highlight w:val="none"/>
              </w:rPr>
              <w:t>序号</w:t>
            </w:r>
          </w:p>
        </w:tc>
        <w:tc>
          <w:tcPr>
            <w:tcW w:w="709" w:type="dxa"/>
          </w:tcPr>
          <w:p>
            <w:pPr>
              <w:pStyle w:val="215"/>
              <w:snapToGrid w:val="0"/>
              <w:spacing w:line="240" w:lineRule="auto"/>
              <w:ind w:firstLine="0" w:firstLineChars="0"/>
              <w:jc w:val="center"/>
              <w:rPr>
                <w:rFonts w:ascii="Times New Roman" w:hAnsi="Times New Roman"/>
                <w:b/>
                <w:color w:val="auto"/>
                <w:sz w:val="21"/>
                <w:szCs w:val="21"/>
                <w:highlight w:val="none"/>
              </w:rPr>
            </w:pPr>
            <w:r>
              <w:rPr>
                <w:rFonts w:ascii="Times New Roman" w:hAnsi="Times New Roman"/>
                <w:b/>
                <w:color w:val="auto"/>
                <w:sz w:val="21"/>
                <w:szCs w:val="21"/>
                <w:highlight w:val="none"/>
              </w:rPr>
              <w:t>等级</w:t>
            </w:r>
          </w:p>
        </w:tc>
        <w:tc>
          <w:tcPr>
            <w:tcW w:w="3686" w:type="dxa"/>
          </w:tcPr>
          <w:p>
            <w:pPr>
              <w:pStyle w:val="215"/>
              <w:snapToGrid w:val="0"/>
              <w:spacing w:line="240" w:lineRule="auto"/>
              <w:ind w:firstLine="0" w:firstLineChars="0"/>
              <w:jc w:val="center"/>
              <w:rPr>
                <w:rFonts w:ascii="Times New Roman" w:hAnsi="Times New Roman"/>
                <w:b/>
                <w:color w:val="auto"/>
                <w:sz w:val="21"/>
                <w:szCs w:val="21"/>
                <w:highlight w:val="none"/>
              </w:rPr>
            </w:pPr>
            <w:r>
              <w:rPr>
                <w:rFonts w:ascii="Times New Roman" w:hAnsi="Times New Roman"/>
                <w:b/>
                <w:color w:val="auto"/>
                <w:sz w:val="21"/>
                <w:szCs w:val="21"/>
                <w:highlight w:val="none"/>
              </w:rPr>
              <w:t>履约信誉描述</w:t>
            </w:r>
          </w:p>
        </w:tc>
        <w:tc>
          <w:tcPr>
            <w:tcW w:w="1984" w:type="dxa"/>
          </w:tcPr>
          <w:p>
            <w:pPr>
              <w:pStyle w:val="215"/>
              <w:snapToGrid w:val="0"/>
              <w:spacing w:line="240" w:lineRule="auto"/>
              <w:ind w:firstLine="0" w:firstLineChars="0"/>
              <w:jc w:val="center"/>
              <w:rPr>
                <w:rFonts w:ascii="Times New Roman" w:hAnsi="Times New Roman"/>
                <w:b/>
                <w:color w:val="auto"/>
                <w:sz w:val="21"/>
                <w:szCs w:val="21"/>
                <w:highlight w:val="none"/>
              </w:rPr>
            </w:pPr>
            <w:r>
              <w:rPr>
                <w:rFonts w:ascii="Times New Roman" w:hAnsi="Times New Roman"/>
                <w:b/>
                <w:color w:val="auto"/>
                <w:sz w:val="21"/>
                <w:szCs w:val="21"/>
                <w:highlight w:val="none"/>
              </w:rPr>
              <w:t>上年度综合得分</w:t>
            </w:r>
          </w:p>
        </w:tc>
        <w:tc>
          <w:tcPr>
            <w:tcW w:w="1468" w:type="dxa"/>
          </w:tcPr>
          <w:p>
            <w:pPr>
              <w:pStyle w:val="215"/>
              <w:snapToGrid w:val="0"/>
              <w:spacing w:line="240" w:lineRule="auto"/>
              <w:ind w:firstLine="0" w:firstLineChars="0"/>
              <w:jc w:val="center"/>
              <w:rPr>
                <w:rFonts w:ascii="Times New Roman" w:hAnsi="Times New Roman"/>
                <w:b/>
                <w:color w:val="auto"/>
                <w:sz w:val="21"/>
                <w:szCs w:val="21"/>
                <w:highlight w:val="none"/>
              </w:rPr>
            </w:pPr>
            <w:r>
              <w:rPr>
                <w:rFonts w:ascii="Times New Roman" w:hAnsi="Times New Roman"/>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15"/>
              <w:snapToGrid w:val="0"/>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1</w:t>
            </w:r>
          </w:p>
        </w:tc>
        <w:tc>
          <w:tcPr>
            <w:tcW w:w="709" w:type="dxa"/>
            <w:vAlign w:val="center"/>
          </w:tcPr>
          <w:p>
            <w:pPr>
              <w:pStyle w:val="215"/>
              <w:snapToGrid w:val="0"/>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A</w:t>
            </w:r>
          </w:p>
        </w:tc>
        <w:tc>
          <w:tcPr>
            <w:tcW w:w="3686"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履约良好、配合程度高、响应及时、主动积极、合作意愿强烈、项目负责人及团队技术能力强</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90分（含）以上</w:t>
            </w:r>
          </w:p>
        </w:tc>
        <w:tc>
          <w:tcPr>
            <w:tcW w:w="146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优秀供应商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15"/>
              <w:snapToGrid w:val="0"/>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2</w:t>
            </w:r>
          </w:p>
        </w:tc>
        <w:tc>
          <w:tcPr>
            <w:tcW w:w="709" w:type="dxa"/>
            <w:vAlign w:val="center"/>
          </w:tcPr>
          <w:p>
            <w:pPr>
              <w:pStyle w:val="215"/>
              <w:snapToGrid w:val="0"/>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B</w:t>
            </w:r>
          </w:p>
        </w:tc>
        <w:tc>
          <w:tcPr>
            <w:tcW w:w="3686"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履约较好、配合程度较高、响应及时、较为主动、合作意愿强烈、项目负责人及团队技术能力较强</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80分（含）~90分（不含）</w:t>
            </w:r>
          </w:p>
        </w:tc>
        <w:tc>
          <w:tcPr>
            <w:tcW w:w="146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正常供应商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15"/>
              <w:snapToGrid w:val="0"/>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3</w:t>
            </w:r>
          </w:p>
        </w:tc>
        <w:tc>
          <w:tcPr>
            <w:tcW w:w="709" w:type="dxa"/>
            <w:vAlign w:val="center"/>
          </w:tcPr>
          <w:p>
            <w:pPr>
              <w:pStyle w:val="215"/>
              <w:snapToGrid w:val="0"/>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C</w:t>
            </w:r>
          </w:p>
        </w:tc>
        <w:tc>
          <w:tcPr>
            <w:tcW w:w="3686"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履约合格，在协助配合、响应性、主动性、合作意愿、技术能力方面存在1至2项明显缺陷</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70分（含）~80分（不含）</w:t>
            </w:r>
          </w:p>
        </w:tc>
        <w:tc>
          <w:tcPr>
            <w:tcW w:w="146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待定供应商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15"/>
              <w:snapToGrid w:val="0"/>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4</w:t>
            </w:r>
          </w:p>
        </w:tc>
        <w:tc>
          <w:tcPr>
            <w:tcW w:w="709" w:type="dxa"/>
            <w:vAlign w:val="center"/>
          </w:tcPr>
          <w:p>
            <w:pPr>
              <w:pStyle w:val="215"/>
              <w:snapToGrid w:val="0"/>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D</w:t>
            </w:r>
          </w:p>
        </w:tc>
        <w:tc>
          <w:tcPr>
            <w:tcW w:w="3686"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在协助配合、响应性、主动性、合作意愿、技术能力方面存在2项以上明显缺陷</w:t>
            </w:r>
          </w:p>
        </w:tc>
        <w:tc>
          <w:tcPr>
            <w:tcW w:w="1984"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70分（不含）以下</w:t>
            </w:r>
          </w:p>
        </w:tc>
        <w:tc>
          <w:tcPr>
            <w:tcW w:w="1468" w:type="dxa"/>
            <w:vAlign w:val="center"/>
          </w:tcPr>
          <w:p>
            <w:pPr>
              <w:pStyle w:val="215"/>
              <w:snapToGrid w:val="0"/>
              <w:spacing w:line="240" w:lineRule="auto"/>
              <w:ind w:firstLine="0" w:firstLineChars="0"/>
              <w:jc w:val="both"/>
              <w:rPr>
                <w:rFonts w:ascii="Times New Roman" w:hAnsi="Times New Roman"/>
                <w:color w:val="auto"/>
                <w:sz w:val="21"/>
                <w:szCs w:val="21"/>
                <w:highlight w:val="none"/>
              </w:rPr>
            </w:pPr>
            <w:r>
              <w:rPr>
                <w:rFonts w:ascii="Times New Roman" w:hAnsi="Times New Roman"/>
                <w:color w:val="auto"/>
                <w:sz w:val="21"/>
                <w:szCs w:val="21"/>
                <w:highlight w:val="none"/>
              </w:rPr>
              <w:t>黑名单供应商</w:t>
            </w:r>
          </w:p>
        </w:tc>
      </w:tr>
    </w:tbl>
    <w:p>
      <w:pPr>
        <w:pStyle w:val="215"/>
        <w:ind w:left="480" w:firstLine="0" w:firstLineChars="0"/>
        <w:rPr>
          <w:rFonts w:ascii="Times New Roman" w:hAnsi="Times New Roman"/>
          <w:color w:val="auto"/>
          <w:highlight w:val="none"/>
        </w:rPr>
      </w:pPr>
    </w:p>
    <w:p>
      <w:pPr>
        <w:pStyle w:val="215"/>
        <w:numPr>
          <w:ilvl w:val="0"/>
          <w:numId w:val="10"/>
        </w:numPr>
        <w:tabs>
          <w:tab w:val="left" w:pos="1843"/>
        </w:tabs>
        <w:ind w:left="0" w:firstLine="480"/>
        <w:rPr>
          <w:rFonts w:ascii="Times New Roman" w:hAnsi="Times New Roman"/>
          <w:color w:val="auto"/>
          <w:highlight w:val="none"/>
        </w:rPr>
      </w:pPr>
      <w:r>
        <w:rPr>
          <w:rFonts w:ascii="Times New Roman" w:hAnsi="Times New Roman"/>
          <w:color w:val="auto"/>
          <w:highlight w:val="none"/>
        </w:rPr>
        <w:t>原则上要求每年对供应商考核不少于1次，具体考核细则详见附件3。</w:t>
      </w:r>
    </w:p>
    <w:p>
      <w:pPr>
        <w:pStyle w:val="215"/>
        <w:numPr>
          <w:ilvl w:val="0"/>
          <w:numId w:val="10"/>
        </w:numPr>
        <w:tabs>
          <w:tab w:val="left" w:pos="1843"/>
        </w:tabs>
        <w:ind w:left="0" w:firstLine="480"/>
        <w:rPr>
          <w:rFonts w:ascii="Times New Roman" w:hAnsi="Times New Roman"/>
          <w:color w:val="auto"/>
          <w:highlight w:val="none"/>
        </w:rPr>
      </w:pPr>
      <w:r>
        <w:rPr>
          <w:rFonts w:ascii="Times New Roman" w:hAnsi="Times New Roman"/>
          <w:color w:val="auto"/>
          <w:highlight w:val="none"/>
        </w:rPr>
        <w:t>由集团工程管理中心及相应的招标采购需求单位共同对供应商进行考核评分。其中，对工程承包商、劳务分包商的考核，集团工程管理中心的评分权重为40%，相应的招标采购需求单位的评分权重为60%；对材料设备供应商的考核，集团工程管理中心的评分权重为50%，相应的招标采购需求单位的评分权重为50%；对服务机构中的设计单位、监理单位及检测单位的考核，集团工程管理中心的评分权重为60%，相应的招标采购需求单位的评分权重为40%；对服务机构中的招标代理、造价咨询及审计单位的考核，直接由集团工程管理中心负责。</w:t>
      </w:r>
    </w:p>
    <w:p>
      <w:pPr>
        <w:pStyle w:val="215"/>
        <w:numPr>
          <w:ilvl w:val="0"/>
          <w:numId w:val="10"/>
        </w:numPr>
        <w:tabs>
          <w:tab w:val="left" w:pos="1843"/>
        </w:tabs>
        <w:ind w:left="0" w:firstLine="480"/>
        <w:rPr>
          <w:rFonts w:ascii="Times New Roman" w:hAnsi="Times New Roman"/>
          <w:color w:val="auto"/>
          <w:highlight w:val="none"/>
        </w:rPr>
      </w:pPr>
      <w:r>
        <w:rPr>
          <w:rFonts w:ascii="Times New Roman" w:hAnsi="Times New Roman"/>
          <w:color w:val="auto"/>
          <w:highlight w:val="none"/>
        </w:rPr>
        <w:t>首次入供应商名录库的供应商，信用等级统一确定为B级。B级及以上的供应商，可以受邀参与全部招标采购活动；C级供应商限于参与标的额为100万元以下的工程分包，或50万元以下的劳务分包、材料设备供应，或30万元以下的服务承包；D级供应商自被定级之日起，不得受邀参与集团招标采购活动。</w:t>
      </w:r>
    </w:p>
    <w:p>
      <w:pPr>
        <w:pStyle w:val="215"/>
        <w:numPr>
          <w:ilvl w:val="0"/>
          <w:numId w:val="10"/>
        </w:numPr>
        <w:tabs>
          <w:tab w:val="left" w:pos="1843"/>
        </w:tabs>
        <w:ind w:left="0" w:firstLine="480"/>
        <w:rPr>
          <w:rFonts w:ascii="Times New Roman" w:hAnsi="Times New Roman"/>
          <w:color w:val="auto"/>
          <w:highlight w:val="none"/>
        </w:rPr>
      </w:pPr>
      <w:r>
        <w:rPr>
          <w:rFonts w:ascii="Times New Roman" w:hAnsi="Times New Roman"/>
          <w:color w:val="auto"/>
          <w:highlight w:val="none"/>
        </w:rPr>
        <w:t>当年未受邀参与招标采购的供应商，不参与履约考核，且其信用等级维持不变。</w:t>
      </w:r>
    </w:p>
    <w:p>
      <w:pPr>
        <w:pStyle w:val="215"/>
        <w:numPr>
          <w:ilvl w:val="0"/>
          <w:numId w:val="10"/>
        </w:numPr>
        <w:tabs>
          <w:tab w:val="left" w:pos="1843"/>
        </w:tabs>
        <w:ind w:left="0" w:firstLine="480"/>
        <w:rPr>
          <w:rFonts w:ascii="Times New Roman" w:hAnsi="Times New Roman"/>
          <w:color w:val="auto"/>
          <w:highlight w:val="none"/>
        </w:rPr>
      </w:pPr>
      <w:r>
        <w:rPr>
          <w:rFonts w:ascii="Times New Roman" w:hAnsi="Times New Roman"/>
          <w:color w:val="auto"/>
          <w:highlight w:val="none"/>
        </w:rPr>
        <w:t>供应商名录库中可供邀请的供应商数量无法满足本办法第十三条的规定时，集团工程管理中心应启动供应商入库招标工作，补充合格供应商录入供应商名录库，补充入库单位数量采用差额补充方式确定。</w:t>
      </w:r>
    </w:p>
    <w:p>
      <w:pPr>
        <w:pStyle w:val="215"/>
        <w:numPr>
          <w:ilvl w:val="0"/>
          <w:numId w:val="12"/>
        </w:numPr>
        <w:tabs>
          <w:tab w:val="left" w:pos="567"/>
        </w:tabs>
        <w:ind w:left="426" w:hanging="426" w:firstLineChars="0"/>
        <w:rPr>
          <w:rFonts w:ascii="Times New Roman" w:hAnsi="Times New Roman" w:eastAsia="黑体"/>
          <w:color w:val="auto"/>
          <w:highlight w:val="none"/>
        </w:rPr>
      </w:pPr>
      <w:r>
        <w:rPr>
          <w:rFonts w:ascii="Times New Roman" w:hAnsi="Times New Roman" w:eastAsia="黑体"/>
          <w:color w:val="auto"/>
          <w:highlight w:val="none"/>
        </w:rPr>
        <w:t>供应商名录库的更新与维护</w:t>
      </w:r>
    </w:p>
    <w:p>
      <w:pPr>
        <w:pStyle w:val="215"/>
        <w:numPr>
          <w:ilvl w:val="0"/>
          <w:numId w:val="10"/>
        </w:numPr>
        <w:tabs>
          <w:tab w:val="left" w:pos="1843"/>
        </w:tabs>
        <w:ind w:left="0" w:firstLine="480"/>
        <w:rPr>
          <w:rFonts w:ascii="Times New Roman" w:hAnsi="Times New Roman"/>
          <w:color w:val="auto"/>
          <w:highlight w:val="none"/>
        </w:rPr>
      </w:pPr>
      <w:r>
        <w:rPr>
          <w:rFonts w:ascii="Times New Roman" w:hAnsi="Times New Roman"/>
          <w:color w:val="auto"/>
          <w:highlight w:val="none"/>
        </w:rPr>
        <w:t>集团工程管理中心负责对供应商名录库的更新与维护。集团工程管理中心每年末对供应商名录库中的信息进行更新与维护，更新的主要内容包括：</w:t>
      </w:r>
    </w:p>
    <w:p>
      <w:pPr>
        <w:pStyle w:val="215"/>
        <w:numPr>
          <w:ilvl w:val="1"/>
          <w:numId w:val="10"/>
        </w:numPr>
        <w:tabs>
          <w:tab w:val="left" w:pos="567"/>
          <w:tab w:val="left" w:pos="851"/>
        </w:tabs>
        <w:ind w:left="0" w:firstLine="480"/>
        <w:rPr>
          <w:rFonts w:ascii="Times New Roman" w:hAnsi="Times New Roman"/>
          <w:color w:val="auto"/>
          <w:highlight w:val="none"/>
        </w:rPr>
      </w:pPr>
      <w:r>
        <w:rPr>
          <w:rFonts w:ascii="Times New Roman" w:hAnsi="Times New Roman"/>
          <w:color w:val="auto"/>
          <w:highlight w:val="none"/>
        </w:rPr>
        <w:t>各专业库的供应商名单；</w:t>
      </w:r>
    </w:p>
    <w:p>
      <w:pPr>
        <w:pStyle w:val="215"/>
        <w:numPr>
          <w:ilvl w:val="1"/>
          <w:numId w:val="10"/>
        </w:numPr>
        <w:tabs>
          <w:tab w:val="left" w:pos="567"/>
          <w:tab w:val="left" w:pos="851"/>
        </w:tabs>
        <w:ind w:left="0" w:firstLine="480"/>
        <w:rPr>
          <w:rFonts w:ascii="Times New Roman" w:hAnsi="Times New Roman"/>
          <w:color w:val="auto"/>
          <w:highlight w:val="none"/>
        </w:rPr>
      </w:pPr>
      <w:r>
        <w:rPr>
          <w:rFonts w:ascii="Times New Roman" w:hAnsi="Times New Roman"/>
          <w:color w:val="auto"/>
          <w:highlight w:val="none"/>
        </w:rPr>
        <w:t>各专业库的供应商年度考核成绩与信用等级。</w:t>
      </w:r>
    </w:p>
    <w:p>
      <w:pPr>
        <w:pStyle w:val="215"/>
        <w:numPr>
          <w:ilvl w:val="0"/>
          <w:numId w:val="10"/>
        </w:numPr>
        <w:tabs>
          <w:tab w:val="left" w:pos="1843"/>
        </w:tabs>
        <w:ind w:left="0" w:firstLine="480"/>
        <w:rPr>
          <w:rFonts w:ascii="Times New Roman" w:hAnsi="Times New Roman"/>
          <w:color w:val="auto"/>
          <w:highlight w:val="none"/>
        </w:rPr>
      </w:pPr>
      <w:r>
        <w:rPr>
          <w:rFonts w:ascii="Times New Roman" w:hAnsi="Times New Roman"/>
          <w:color w:val="auto"/>
          <w:highlight w:val="none"/>
        </w:rPr>
        <w:t>供应商名录库有效期内，各专业的合格供应商数量无法满足第十三条的要求时，集团工程管理中心应按照第二十六的规定，及时启动补充入库招标，补充足量合格供应商。</w:t>
      </w:r>
    </w:p>
    <w:p>
      <w:pPr>
        <w:pStyle w:val="215"/>
        <w:numPr>
          <w:ilvl w:val="0"/>
          <w:numId w:val="10"/>
        </w:numPr>
        <w:tabs>
          <w:tab w:val="left" w:pos="1843"/>
        </w:tabs>
        <w:ind w:left="0" w:firstLine="480"/>
        <w:rPr>
          <w:rFonts w:ascii="Times New Roman" w:hAnsi="Times New Roman"/>
          <w:color w:val="auto"/>
          <w:highlight w:val="none"/>
        </w:rPr>
      </w:pPr>
      <w:r>
        <w:rPr>
          <w:rFonts w:ascii="Times New Roman" w:hAnsi="Times New Roman"/>
          <w:color w:val="auto"/>
          <w:highlight w:val="none"/>
        </w:rPr>
        <w:t>供应商名录库有效期满前两个月，集团工程管理中心应按照本办法第十二条的规定，启动更新入库招标。</w:t>
      </w:r>
    </w:p>
    <w:p>
      <w:pPr>
        <w:pStyle w:val="215"/>
        <w:numPr>
          <w:ilvl w:val="0"/>
          <w:numId w:val="10"/>
        </w:numPr>
        <w:tabs>
          <w:tab w:val="left" w:pos="1560"/>
        </w:tabs>
        <w:ind w:left="0" w:firstLine="480"/>
        <w:rPr>
          <w:rFonts w:ascii="Times New Roman" w:hAnsi="Times New Roman"/>
          <w:color w:val="auto"/>
          <w:highlight w:val="none"/>
        </w:rPr>
      </w:pPr>
      <w:r>
        <w:rPr>
          <w:rFonts w:ascii="Times New Roman" w:hAnsi="Times New Roman"/>
          <w:color w:val="auto"/>
          <w:highlight w:val="none"/>
        </w:rPr>
        <w:t>集团工程管理中心需对供应商名录库内各供应商的档案进行更新与维护，更新的主要内容包括：</w:t>
      </w:r>
    </w:p>
    <w:p>
      <w:pPr>
        <w:pStyle w:val="215"/>
        <w:numPr>
          <w:ilvl w:val="1"/>
          <w:numId w:val="10"/>
        </w:numPr>
        <w:tabs>
          <w:tab w:val="left" w:pos="567"/>
          <w:tab w:val="left" w:pos="851"/>
        </w:tabs>
        <w:ind w:left="0" w:firstLine="480"/>
        <w:rPr>
          <w:rFonts w:ascii="Times New Roman" w:hAnsi="Times New Roman"/>
          <w:color w:val="auto"/>
          <w:highlight w:val="none"/>
        </w:rPr>
      </w:pPr>
      <w:r>
        <w:rPr>
          <w:rFonts w:ascii="Times New Roman" w:hAnsi="Times New Roman"/>
          <w:color w:val="auto"/>
          <w:highlight w:val="none"/>
        </w:rPr>
        <w:t>根据当年的履约考核得分，更新其信用等级；</w:t>
      </w:r>
    </w:p>
    <w:p>
      <w:pPr>
        <w:pStyle w:val="215"/>
        <w:numPr>
          <w:ilvl w:val="1"/>
          <w:numId w:val="10"/>
        </w:numPr>
        <w:tabs>
          <w:tab w:val="left" w:pos="567"/>
          <w:tab w:val="left" w:pos="851"/>
        </w:tabs>
        <w:ind w:left="0" w:firstLine="480"/>
        <w:rPr>
          <w:rFonts w:ascii="Times New Roman" w:hAnsi="Times New Roman"/>
          <w:color w:val="auto"/>
          <w:highlight w:val="none"/>
        </w:rPr>
      </w:pPr>
      <w:r>
        <w:rPr>
          <w:rFonts w:ascii="Times New Roman" w:hAnsi="Times New Roman"/>
          <w:color w:val="auto"/>
          <w:highlight w:val="none"/>
        </w:rPr>
        <w:t>供应商基本信息；</w:t>
      </w:r>
    </w:p>
    <w:p>
      <w:pPr>
        <w:pStyle w:val="215"/>
        <w:numPr>
          <w:ilvl w:val="1"/>
          <w:numId w:val="10"/>
        </w:numPr>
        <w:tabs>
          <w:tab w:val="left" w:pos="567"/>
          <w:tab w:val="left" w:pos="851"/>
        </w:tabs>
        <w:ind w:left="0" w:firstLine="480"/>
        <w:rPr>
          <w:rFonts w:ascii="Times New Roman" w:hAnsi="Times New Roman"/>
          <w:color w:val="auto"/>
          <w:highlight w:val="none"/>
        </w:rPr>
      </w:pPr>
      <w:r>
        <w:rPr>
          <w:rFonts w:ascii="Times New Roman" w:hAnsi="Times New Roman"/>
          <w:color w:val="auto"/>
          <w:highlight w:val="none"/>
        </w:rPr>
        <w:t>供应商当年承接业务统计；</w:t>
      </w:r>
    </w:p>
    <w:p>
      <w:pPr>
        <w:pStyle w:val="215"/>
        <w:numPr>
          <w:ilvl w:val="1"/>
          <w:numId w:val="10"/>
        </w:numPr>
        <w:tabs>
          <w:tab w:val="left" w:pos="567"/>
          <w:tab w:val="left" w:pos="851"/>
        </w:tabs>
        <w:ind w:left="0" w:firstLine="480"/>
        <w:rPr>
          <w:rFonts w:ascii="Times New Roman" w:hAnsi="Times New Roman"/>
          <w:color w:val="auto"/>
          <w:highlight w:val="none"/>
        </w:rPr>
      </w:pPr>
      <w:r>
        <w:rPr>
          <w:rFonts w:ascii="Times New Roman" w:hAnsi="Times New Roman"/>
          <w:color w:val="auto"/>
          <w:highlight w:val="none"/>
        </w:rPr>
        <w:t>其他需要更新的内容。</w:t>
      </w:r>
    </w:p>
    <w:p>
      <w:pPr>
        <w:pStyle w:val="215"/>
        <w:numPr>
          <w:ilvl w:val="0"/>
          <w:numId w:val="10"/>
        </w:numPr>
        <w:tabs>
          <w:tab w:val="left" w:pos="1843"/>
        </w:tabs>
        <w:ind w:left="0" w:firstLine="480"/>
        <w:rPr>
          <w:rFonts w:ascii="Times New Roman" w:hAnsi="Times New Roman"/>
          <w:color w:val="auto"/>
          <w:highlight w:val="none"/>
        </w:rPr>
      </w:pPr>
      <w:r>
        <w:rPr>
          <w:rFonts w:ascii="Times New Roman" w:hAnsi="Times New Roman"/>
          <w:color w:val="auto"/>
          <w:highlight w:val="none"/>
        </w:rPr>
        <w:t>供应商在履约过程中的考核记录、受到的相关处罚等资料保留至供应商档案中。</w:t>
      </w:r>
    </w:p>
    <w:p>
      <w:pPr>
        <w:pStyle w:val="215"/>
        <w:numPr>
          <w:ilvl w:val="0"/>
          <w:numId w:val="12"/>
        </w:numPr>
        <w:tabs>
          <w:tab w:val="left" w:pos="567"/>
        </w:tabs>
        <w:ind w:left="426" w:hanging="426" w:firstLineChars="0"/>
        <w:rPr>
          <w:rFonts w:ascii="Times New Roman" w:hAnsi="Times New Roman" w:eastAsia="黑体"/>
          <w:color w:val="auto"/>
          <w:highlight w:val="none"/>
        </w:rPr>
      </w:pPr>
      <w:r>
        <w:rPr>
          <w:rFonts w:ascii="Times New Roman" w:hAnsi="Times New Roman" w:eastAsia="黑体"/>
          <w:color w:val="auto"/>
          <w:highlight w:val="none"/>
        </w:rPr>
        <w:t>罚则</w:t>
      </w:r>
    </w:p>
    <w:p>
      <w:pPr>
        <w:pStyle w:val="215"/>
        <w:numPr>
          <w:ilvl w:val="0"/>
          <w:numId w:val="10"/>
        </w:numPr>
        <w:tabs>
          <w:tab w:val="left" w:pos="1843"/>
        </w:tabs>
        <w:ind w:left="0" w:firstLine="480"/>
        <w:rPr>
          <w:rFonts w:ascii="Times New Roman" w:hAnsi="Times New Roman"/>
          <w:color w:val="auto"/>
          <w:highlight w:val="none"/>
        </w:rPr>
      </w:pPr>
      <w:r>
        <w:rPr>
          <w:rFonts w:ascii="Times New Roman" w:hAnsi="Times New Roman"/>
          <w:color w:val="auto"/>
          <w:highlight w:val="none"/>
        </w:rPr>
        <w:t>受邀供应商参与招标采购过程中，出现以下情形的，除按照履约考核进行考核打分外，还需承担相应处罚：</w:t>
      </w:r>
    </w:p>
    <w:p>
      <w:pPr>
        <w:pStyle w:val="215"/>
        <w:numPr>
          <w:ilvl w:val="1"/>
          <w:numId w:val="10"/>
        </w:numPr>
        <w:tabs>
          <w:tab w:val="left" w:pos="851"/>
        </w:tabs>
        <w:ind w:left="0" w:firstLine="480"/>
        <w:rPr>
          <w:rFonts w:ascii="Times New Roman" w:hAnsi="Times New Roman"/>
          <w:color w:val="auto"/>
          <w:highlight w:val="none"/>
        </w:rPr>
      </w:pPr>
      <w:r>
        <w:rPr>
          <w:rFonts w:ascii="Times New Roman" w:hAnsi="Times New Roman"/>
          <w:color w:val="auto"/>
          <w:highlight w:val="none"/>
        </w:rPr>
        <w:t>连续两次受邀，无故不参加招标采购活动的，暂停6个月的受邀资格权；</w:t>
      </w:r>
    </w:p>
    <w:p>
      <w:pPr>
        <w:pStyle w:val="215"/>
        <w:numPr>
          <w:ilvl w:val="1"/>
          <w:numId w:val="10"/>
        </w:numPr>
        <w:tabs>
          <w:tab w:val="left" w:pos="851"/>
        </w:tabs>
        <w:ind w:left="0" w:firstLine="480"/>
        <w:rPr>
          <w:rFonts w:ascii="Times New Roman" w:hAnsi="Times New Roman"/>
          <w:color w:val="auto"/>
          <w:highlight w:val="none"/>
        </w:rPr>
      </w:pPr>
      <w:r>
        <w:rPr>
          <w:rFonts w:ascii="Times New Roman" w:hAnsi="Times New Roman"/>
          <w:color w:val="auto"/>
          <w:highlight w:val="none"/>
        </w:rPr>
        <w:t>报价明显偏低或者明显偏高的，暂停6个月的受邀资格权；</w:t>
      </w:r>
    </w:p>
    <w:p>
      <w:pPr>
        <w:pStyle w:val="215"/>
        <w:numPr>
          <w:ilvl w:val="1"/>
          <w:numId w:val="10"/>
        </w:numPr>
        <w:tabs>
          <w:tab w:val="left" w:pos="851"/>
        </w:tabs>
        <w:ind w:left="0" w:firstLine="480"/>
        <w:rPr>
          <w:rFonts w:ascii="Times New Roman" w:hAnsi="Times New Roman"/>
          <w:color w:val="auto"/>
          <w:highlight w:val="none"/>
        </w:rPr>
      </w:pPr>
      <w:r>
        <w:rPr>
          <w:rFonts w:ascii="Times New Roman" w:hAnsi="Times New Roman"/>
          <w:color w:val="auto"/>
          <w:highlight w:val="none"/>
        </w:rPr>
        <w:t>存在串标、围标现象的，一经发现，当年信用等级直接降至D级，且3年内不得参与集团入库投标；</w:t>
      </w:r>
    </w:p>
    <w:p>
      <w:pPr>
        <w:pStyle w:val="215"/>
        <w:numPr>
          <w:ilvl w:val="1"/>
          <w:numId w:val="10"/>
        </w:numPr>
        <w:tabs>
          <w:tab w:val="left" w:pos="851"/>
        </w:tabs>
        <w:ind w:left="0" w:firstLine="480"/>
        <w:rPr>
          <w:rFonts w:ascii="Times New Roman" w:hAnsi="Times New Roman"/>
          <w:color w:val="auto"/>
          <w:highlight w:val="none"/>
        </w:rPr>
      </w:pPr>
      <w:r>
        <w:rPr>
          <w:rFonts w:ascii="Times New Roman" w:hAnsi="Times New Roman"/>
          <w:color w:val="auto"/>
          <w:highlight w:val="none"/>
        </w:rPr>
        <w:t>招标采购活动中，存在行贿受贿或法律、法规明令禁止的行为的，当年信用等级直接降至D级，且3年内不得参与集团入库投标，并移送司法机关处理；</w:t>
      </w:r>
    </w:p>
    <w:p>
      <w:pPr>
        <w:pStyle w:val="215"/>
        <w:numPr>
          <w:ilvl w:val="1"/>
          <w:numId w:val="10"/>
        </w:numPr>
        <w:tabs>
          <w:tab w:val="left" w:pos="851"/>
        </w:tabs>
        <w:ind w:left="0" w:firstLine="480"/>
        <w:rPr>
          <w:rFonts w:ascii="Times New Roman" w:hAnsi="Times New Roman"/>
          <w:color w:val="auto"/>
          <w:highlight w:val="none"/>
        </w:rPr>
      </w:pPr>
      <w:r>
        <w:rPr>
          <w:rFonts w:ascii="Times New Roman" w:hAnsi="Times New Roman"/>
          <w:color w:val="auto"/>
          <w:highlight w:val="none"/>
        </w:rPr>
        <w:t>无故放弃中标的，无故拖延合同签订的，或中标后恶意提出修改合同的，暂停6个月的受邀资格权，且当年信用等级降至C级；</w:t>
      </w:r>
    </w:p>
    <w:p>
      <w:pPr>
        <w:pStyle w:val="215"/>
        <w:numPr>
          <w:ilvl w:val="1"/>
          <w:numId w:val="10"/>
        </w:numPr>
        <w:tabs>
          <w:tab w:val="left" w:pos="851"/>
        </w:tabs>
        <w:ind w:left="0" w:firstLine="480"/>
        <w:rPr>
          <w:rFonts w:ascii="Times New Roman" w:hAnsi="Times New Roman"/>
          <w:color w:val="auto"/>
          <w:highlight w:val="none"/>
        </w:rPr>
      </w:pPr>
      <w:r>
        <w:rPr>
          <w:rFonts w:ascii="Times New Roman" w:hAnsi="Times New Roman"/>
          <w:color w:val="auto"/>
          <w:highlight w:val="none"/>
        </w:rPr>
        <w:t>投标文件存在弄虚作假、隐瞒关键信息、恶意骗取中标资格的，当年信用等级直接降至D级，且3年内不得参与集团入库投标；</w:t>
      </w:r>
    </w:p>
    <w:p>
      <w:pPr>
        <w:tabs>
          <w:tab w:val="left" w:pos="851"/>
        </w:tabs>
        <w:ind w:firstLine="480"/>
        <w:rPr>
          <w:rFonts w:ascii="Times New Roman" w:hAnsi="Times New Roman"/>
          <w:color w:val="auto"/>
          <w:highlight w:val="none"/>
        </w:rPr>
      </w:pPr>
      <w:r>
        <w:rPr>
          <w:rFonts w:ascii="Times New Roman" w:hAnsi="Times New Roman"/>
          <w:color w:val="auto"/>
          <w:highlight w:val="none"/>
        </w:rPr>
        <w:t>7）恶意投诉、阻挠招标采购活动继续进行的，暂停6个月的受邀资格权，当年信用等级不得高于B级。</w:t>
      </w:r>
    </w:p>
    <w:p>
      <w:pPr>
        <w:pStyle w:val="215"/>
        <w:numPr>
          <w:ilvl w:val="0"/>
          <w:numId w:val="10"/>
        </w:numPr>
        <w:tabs>
          <w:tab w:val="left" w:pos="1843"/>
        </w:tabs>
        <w:ind w:left="0" w:firstLine="480"/>
        <w:rPr>
          <w:rFonts w:ascii="Times New Roman" w:hAnsi="Times New Roman"/>
          <w:color w:val="auto"/>
          <w:highlight w:val="none"/>
        </w:rPr>
      </w:pPr>
      <w:r>
        <w:rPr>
          <w:rFonts w:ascii="Times New Roman" w:hAnsi="Times New Roman"/>
          <w:color w:val="auto"/>
          <w:highlight w:val="none"/>
        </w:rPr>
        <w:t>合同履行过程中，出现以下情形的，除按照合同执行、履约考核进行考核打分外，还需承担相应处罚：</w:t>
      </w:r>
    </w:p>
    <w:p>
      <w:pPr>
        <w:pStyle w:val="215"/>
        <w:numPr>
          <w:ilvl w:val="1"/>
          <w:numId w:val="10"/>
        </w:numPr>
        <w:tabs>
          <w:tab w:val="left" w:pos="567"/>
          <w:tab w:val="left" w:pos="851"/>
        </w:tabs>
        <w:adjustRightInd w:val="0"/>
        <w:ind w:left="0" w:firstLine="480"/>
        <w:rPr>
          <w:rFonts w:ascii="Times New Roman" w:hAnsi="Times New Roman"/>
          <w:color w:val="auto"/>
          <w:highlight w:val="none"/>
        </w:rPr>
      </w:pPr>
      <w:r>
        <w:rPr>
          <w:rFonts w:ascii="Times New Roman" w:hAnsi="Times New Roman"/>
          <w:color w:val="auto"/>
          <w:highlight w:val="none"/>
        </w:rPr>
        <w:t>出现农民工工资纠纷导致不利社会影响的，当年信用等级直接降至D级，且3年内不得参与集团入库投标；</w:t>
      </w:r>
    </w:p>
    <w:p>
      <w:pPr>
        <w:pStyle w:val="215"/>
        <w:numPr>
          <w:ilvl w:val="1"/>
          <w:numId w:val="10"/>
        </w:numPr>
        <w:tabs>
          <w:tab w:val="left" w:pos="567"/>
          <w:tab w:val="left" w:pos="851"/>
        </w:tabs>
        <w:adjustRightInd w:val="0"/>
        <w:ind w:left="0" w:firstLine="480"/>
        <w:rPr>
          <w:rFonts w:ascii="Times New Roman" w:hAnsi="Times New Roman"/>
          <w:color w:val="auto"/>
          <w:highlight w:val="none"/>
        </w:rPr>
      </w:pPr>
      <w:r>
        <w:rPr>
          <w:rFonts w:ascii="Times New Roman" w:hAnsi="Times New Roman"/>
          <w:color w:val="auto"/>
          <w:highlight w:val="none"/>
        </w:rPr>
        <w:t>出现一般以上安全事故的，视事故的严重程度确定当年信用等级，原则上不得高于B级；出现人员死亡的，当年信用等级直接降至D级，且3年内不得参与集团入库投标；</w:t>
      </w:r>
    </w:p>
    <w:p>
      <w:pPr>
        <w:pStyle w:val="215"/>
        <w:numPr>
          <w:ilvl w:val="1"/>
          <w:numId w:val="10"/>
        </w:numPr>
        <w:tabs>
          <w:tab w:val="left" w:pos="567"/>
          <w:tab w:val="left" w:pos="851"/>
        </w:tabs>
        <w:adjustRightInd w:val="0"/>
        <w:ind w:left="0" w:firstLine="480"/>
        <w:rPr>
          <w:rFonts w:ascii="Times New Roman" w:hAnsi="Times New Roman"/>
          <w:color w:val="auto"/>
          <w:highlight w:val="none"/>
        </w:rPr>
      </w:pPr>
      <w:r>
        <w:rPr>
          <w:rFonts w:ascii="Times New Roman" w:hAnsi="Times New Roman"/>
          <w:color w:val="auto"/>
          <w:highlight w:val="none"/>
        </w:rPr>
        <w:t>出现工期延迟超过合同约定工期10%以上的，视工期延误的严重程度确定当年信用等级，原则上不得高于B级；</w:t>
      </w:r>
    </w:p>
    <w:p>
      <w:pPr>
        <w:pStyle w:val="215"/>
        <w:numPr>
          <w:ilvl w:val="1"/>
          <w:numId w:val="10"/>
        </w:numPr>
        <w:tabs>
          <w:tab w:val="left" w:pos="567"/>
          <w:tab w:val="left" w:pos="851"/>
        </w:tabs>
        <w:adjustRightInd w:val="0"/>
        <w:ind w:left="0" w:firstLine="480"/>
        <w:rPr>
          <w:rFonts w:ascii="Times New Roman" w:hAnsi="Times New Roman"/>
          <w:color w:val="auto"/>
          <w:highlight w:val="none"/>
        </w:rPr>
      </w:pPr>
      <w:r>
        <w:rPr>
          <w:rFonts w:ascii="Times New Roman" w:hAnsi="Times New Roman"/>
          <w:color w:val="auto"/>
          <w:highlight w:val="none"/>
        </w:rPr>
        <w:t>恶意提出索赔的，无故拖延工程变更不实施的，拒不接受发包人指令的，暂停6个月的受邀资格权，且当年信用等级降至C级；</w:t>
      </w:r>
    </w:p>
    <w:p>
      <w:pPr>
        <w:pStyle w:val="215"/>
        <w:numPr>
          <w:ilvl w:val="1"/>
          <w:numId w:val="10"/>
        </w:numPr>
        <w:tabs>
          <w:tab w:val="left" w:pos="567"/>
          <w:tab w:val="left" w:pos="851"/>
        </w:tabs>
        <w:adjustRightInd w:val="0"/>
        <w:ind w:left="0" w:firstLine="480"/>
        <w:rPr>
          <w:rFonts w:ascii="Times New Roman" w:hAnsi="Times New Roman"/>
          <w:color w:val="auto"/>
          <w:highlight w:val="none"/>
        </w:rPr>
      </w:pPr>
      <w:r>
        <w:rPr>
          <w:rFonts w:ascii="Times New Roman" w:hAnsi="Times New Roman"/>
          <w:color w:val="auto"/>
          <w:highlight w:val="none"/>
        </w:rPr>
        <w:t>存在弄虚作假、隐瞒关键信息、勾结第三方单位、谋取不正当得利的，暂停6个月的受邀资格权，且当年信用等级降至C级。</w:t>
      </w:r>
    </w:p>
    <w:p>
      <w:pPr>
        <w:pStyle w:val="215"/>
        <w:numPr>
          <w:ilvl w:val="0"/>
          <w:numId w:val="10"/>
        </w:numPr>
        <w:tabs>
          <w:tab w:val="left" w:pos="1843"/>
        </w:tabs>
        <w:ind w:left="0" w:firstLine="480"/>
        <w:rPr>
          <w:rFonts w:ascii="Times New Roman" w:hAnsi="Times New Roman"/>
          <w:color w:val="auto"/>
          <w:highlight w:val="none"/>
        </w:rPr>
      </w:pPr>
      <w:r>
        <w:rPr>
          <w:rFonts w:ascii="Times New Roman" w:hAnsi="Times New Roman"/>
          <w:color w:val="auto"/>
          <w:highlight w:val="none"/>
        </w:rPr>
        <w:t>工程竣工验收及质保、结审审核阶段，出现以下情形的，除按照合同执行、履约考核进行考核打分外，还需承担相应处罚：</w:t>
      </w:r>
    </w:p>
    <w:p>
      <w:pPr>
        <w:pStyle w:val="215"/>
        <w:numPr>
          <w:ilvl w:val="1"/>
          <w:numId w:val="10"/>
        </w:numPr>
        <w:tabs>
          <w:tab w:val="left" w:pos="709"/>
          <w:tab w:val="left" w:pos="851"/>
        </w:tabs>
        <w:ind w:left="0" w:firstLine="480"/>
        <w:rPr>
          <w:rFonts w:ascii="Times New Roman" w:hAnsi="Times New Roman"/>
          <w:color w:val="auto"/>
          <w:highlight w:val="none"/>
        </w:rPr>
      </w:pPr>
      <w:r>
        <w:rPr>
          <w:rFonts w:ascii="Times New Roman" w:hAnsi="Times New Roman"/>
          <w:color w:val="auto"/>
          <w:highlight w:val="none"/>
        </w:rPr>
        <w:t>恶意拖延工程交竣工的，阻拦工程投入使用的，拖延提交工程竣工备案资料的，暂停6个月的受邀资格权；</w:t>
      </w:r>
    </w:p>
    <w:p>
      <w:pPr>
        <w:pStyle w:val="215"/>
        <w:numPr>
          <w:ilvl w:val="1"/>
          <w:numId w:val="10"/>
        </w:numPr>
        <w:tabs>
          <w:tab w:val="left" w:pos="709"/>
          <w:tab w:val="left" w:pos="851"/>
        </w:tabs>
        <w:ind w:left="0" w:firstLine="480"/>
        <w:rPr>
          <w:rFonts w:ascii="Times New Roman" w:hAnsi="Times New Roman"/>
          <w:color w:val="auto"/>
          <w:highlight w:val="none"/>
        </w:rPr>
      </w:pPr>
      <w:r>
        <w:rPr>
          <w:rFonts w:ascii="Times New Roman" w:hAnsi="Times New Roman"/>
          <w:color w:val="auto"/>
          <w:highlight w:val="none"/>
        </w:rPr>
        <w:t>无故拖延工程维修或推卸维修责任导致不利社会影响的，暂停6个月的受邀资格权，且当年信用等级降至C级；</w:t>
      </w:r>
    </w:p>
    <w:p>
      <w:pPr>
        <w:pStyle w:val="215"/>
        <w:numPr>
          <w:ilvl w:val="1"/>
          <w:numId w:val="10"/>
        </w:numPr>
        <w:tabs>
          <w:tab w:val="left" w:pos="709"/>
          <w:tab w:val="left" w:pos="851"/>
        </w:tabs>
        <w:ind w:left="0" w:firstLine="480"/>
        <w:rPr>
          <w:rFonts w:ascii="Times New Roman" w:hAnsi="Times New Roman"/>
          <w:color w:val="auto"/>
          <w:highlight w:val="none"/>
        </w:rPr>
      </w:pPr>
      <w:r>
        <w:rPr>
          <w:rFonts w:ascii="Times New Roman" w:hAnsi="Times New Roman"/>
          <w:color w:val="auto"/>
          <w:highlight w:val="none"/>
        </w:rPr>
        <w:t>结审审核时不积极配合的，恶意施压以提高结算价款的，当年信用等级不得高于B级。</w:t>
      </w:r>
    </w:p>
    <w:p>
      <w:pPr>
        <w:pStyle w:val="215"/>
        <w:numPr>
          <w:ilvl w:val="0"/>
          <w:numId w:val="12"/>
        </w:numPr>
        <w:tabs>
          <w:tab w:val="left" w:pos="567"/>
        </w:tabs>
        <w:ind w:left="426" w:hanging="426" w:firstLineChars="0"/>
        <w:rPr>
          <w:rFonts w:ascii="Times New Roman" w:hAnsi="Times New Roman" w:eastAsia="黑体"/>
          <w:color w:val="auto"/>
          <w:highlight w:val="none"/>
        </w:rPr>
      </w:pPr>
      <w:r>
        <w:rPr>
          <w:rFonts w:ascii="Times New Roman" w:hAnsi="Times New Roman" w:eastAsia="黑体"/>
          <w:color w:val="auto"/>
          <w:highlight w:val="none"/>
        </w:rPr>
        <w:t>其他</w:t>
      </w:r>
    </w:p>
    <w:p>
      <w:pPr>
        <w:pStyle w:val="215"/>
        <w:numPr>
          <w:ilvl w:val="0"/>
          <w:numId w:val="10"/>
        </w:numPr>
        <w:tabs>
          <w:tab w:val="left" w:pos="1843"/>
        </w:tabs>
        <w:ind w:left="0" w:firstLine="480"/>
        <w:rPr>
          <w:rFonts w:ascii="Times New Roman" w:hAnsi="Times New Roman"/>
          <w:color w:val="auto"/>
          <w:highlight w:val="none"/>
        </w:rPr>
      </w:pPr>
      <w:r>
        <w:rPr>
          <w:rFonts w:ascii="Times New Roman" w:hAnsi="Times New Roman"/>
          <w:color w:val="auto"/>
          <w:highlight w:val="none"/>
        </w:rPr>
        <w:t>本办法自20 年 月  日起试行。由集团工程管理中心负责解释与修编。</w:t>
      </w:r>
    </w:p>
    <w:p>
      <w:pPr>
        <w:ind w:firstLine="480"/>
        <w:rPr>
          <w:rFonts w:ascii="Times New Roman" w:hAnsi="Times New Roman"/>
          <w:color w:val="auto"/>
          <w:highlight w:val="none"/>
        </w:rPr>
      </w:pPr>
      <w:r>
        <w:rPr>
          <w:rFonts w:ascii="Times New Roman" w:hAnsi="Times New Roman"/>
          <w:color w:val="auto"/>
          <w:highlight w:val="none"/>
        </w:rPr>
        <w:t>附件1：供应商名录库信息表</w:t>
      </w:r>
    </w:p>
    <w:p>
      <w:pPr>
        <w:ind w:firstLine="480"/>
        <w:rPr>
          <w:rFonts w:ascii="Times New Roman" w:hAnsi="Times New Roman"/>
          <w:color w:val="auto"/>
          <w:highlight w:val="none"/>
        </w:rPr>
      </w:pPr>
      <w:r>
        <w:rPr>
          <w:rFonts w:ascii="Times New Roman" w:hAnsi="Times New Roman"/>
          <w:color w:val="auto"/>
          <w:highlight w:val="none"/>
        </w:rPr>
        <w:t>附件2：供应商基本情况登记表</w:t>
      </w:r>
    </w:p>
    <w:p>
      <w:pPr>
        <w:ind w:firstLine="480"/>
        <w:rPr>
          <w:rFonts w:ascii="Times New Roman" w:hAnsi="Times New Roman"/>
          <w:color w:val="auto"/>
          <w:highlight w:val="none"/>
        </w:rPr>
      </w:pPr>
      <w:r>
        <w:rPr>
          <w:rFonts w:ascii="Times New Roman" w:hAnsi="Times New Roman"/>
          <w:color w:val="auto"/>
          <w:highlight w:val="none"/>
        </w:rPr>
        <w:t>附件3：供应商履约考核</w:t>
      </w:r>
    </w:p>
    <w:p>
      <w:pPr>
        <w:ind w:firstLine="480"/>
        <w:rPr>
          <w:rFonts w:ascii="Times New Roman" w:hAnsi="Times New Roman"/>
          <w:color w:val="auto"/>
          <w:highlight w:val="none"/>
        </w:rPr>
      </w:pPr>
    </w:p>
    <w:p>
      <w:pPr>
        <w:ind w:firstLine="480"/>
        <w:rPr>
          <w:rFonts w:ascii="Times New Roman" w:hAnsi="Times New Roman"/>
          <w:color w:val="auto"/>
          <w:highlight w:val="none"/>
        </w:rPr>
      </w:pPr>
    </w:p>
    <w:p>
      <w:pPr>
        <w:ind w:firstLine="480"/>
        <w:rPr>
          <w:rFonts w:hint="eastAsia" w:ascii="Times New Roman" w:hAnsi="Times New Roman"/>
          <w:color w:val="auto"/>
          <w:highlight w:val="none"/>
        </w:rPr>
      </w:pPr>
    </w:p>
    <w:p>
      <w:pPr>
        <w:ind w:firstLine="480"/>
        <w:rPr>
          <w:rFonts w:hint="eastAsia" w:ascii="Times New Roman" w:hAnsi="Times New Roman"/>
          <w:color w:val="auto"/>
          <w:highlight w:val="none"/>
        </w:rPr>
      </w:pPr>
    </w:p>
    <w:p>
      <w:pPr>
        <w:ind w:firstLine="480"/>
        <w:rPr>
          <w:rFonts w:hint="eastAsia" w:ascii="Times New Roman" w:hAnsi="Times New Roman"/>
          <w:color w:val="auto"/>
          <w:highlight w:val="none"/>
        </w:rPr>
      </w:pPr>
    </w:p>
    <w:p>
      <w:pPr>
        <w:ind w:firstLine="480"/>
        <w:rPr>
          <w:rFonts w:hint="eastAsia" w:ascii="Times New Roman" w:hAnsi="Times New Roman"/>
          <w:color w:val="auto"/>
          <w:highlight w:val="none"/>
        </w:rPr>
      </w:pPr>
    </w:p>
    <w:p>
      <w:pPr>
        <w:ind w:firstLine="480"/>
        <w:rPr>
          <w:rFonts w:hint="eastAsia" w:ascii="Times New Roman" w:hAnsi="Times New Roman"/>
          <w:color w:val="auto"/>
          <w:highlight w:val="none"/>
        </w:rPr>
      </w:pPr>
    </w:p>
    <w:p>
      <w:pPr>
        <w:ind w:firstLine="480"/>
        <w:rPr>
          <w:rFonts w:hint="eastAsia" w:ascii="Times New Roman" w:hAnsi="Times New Roman"/>
          <w:color w:val="auto"/>
          <w:highlight w:val="none"/>
        </w:rPr>
      </w:pPr>
    </w:p>
    <w:p>
      <w:pPr>
        <w:ind w:firstLine="480"/>
        <w:rPr>
          <w:rFonts w:hint="eastAsia" w:ascii="Times New Roman" w:hAnsi="Times New Roman"/>
          <w:color w:val="auto"/>
          <w:highlight w:val="none"/>
        </w:rPr>
      </w:pPr>
    </w:p>
    <w:p>
      <w:pPr>
        <w:ind w:firstLine="480"/>
        <w:rPr>
          <w:rFonts w:hint="eastAsia" w:ascii="Times New Roman" w:hAnsi="Times New Roman"/>
          <w:color w:val="auto"/>
          <w:highlight w:val="none"/>
        </w:rPr>
      </w:pPr>
    </w:p>
    <w:p>
      <w:pPr>
        <w:ind w:firstLine="480"/>
        <w:rPr>
          <w:rFonts w:ascii="Times New Roman" w:hAnsi="Times New Roman"/>
          <w:color w:val="auto"/>
          <w:highlight w:val="none"/>
        </w:rPr>
      </w:pPr>
    </w:p>
    <w:p>
      <w:pPr>
        <w:ind w:firstLine="0" w:firstLineChars="0"/>
        <w:rPr>
          <w:rFonts w:ascii="Times New Roman" w:hAnsi="Times New Roman"/>
          <w:color w:val="auto"/>
          <w:highlight w:val="none"/>
        </w:rPr>
      </w:pPr>
      <w:r>
        <w:rPr>
          <w:rFonts w:ascii="Times New Roman" w:hAnsi="Times New Roman"/>
          <w:color w:val="auto"/>
          <w:highlight w:val="none"/>
        </w:rPr>
        <w:br w:type="page"/>
      </w:r>
      <w:r>
        <w:rPr>
          <w:rFonts w:ascii="Times New Roman" w:hAnsi="Times New Roman"/>
          <w:color w:val="auto"/>
          <w:highlight w:val="none"/>
        </w:rPr>
        <w:t>附件1</w:t>
      </w:r>
    </w:p>
    <w:p>
      <w:pPr>
        <w:ind w:firstLine="0" w:firstLineChars="0"/>
        <w:jc w:val="center"/>
        <w:rPr>
          <w:rFonts w:ascii="Times New Roman" w:hAnsi="Times New Roman"/>
          <w:b/>
          <w:color w:val="auto"/>
          <w:sz w:val="28"/>
          <w:highlight w:val="none"/>
        </w:rPr>
      </w:pPr>
      <w:r>
        <w:rPr>
          <w:rFonts w:ascii="Times New Roman" w:hAnsi="Times New Roman"/>
          <w:b/>
          <w:color w:val="auto"/>
          <w:sz w:val="28"/>
          <w:highlight w:val="none"/>
        </w:rPr>
        <w:t>供应商名录库信息表</w:t>
      </w:r>
    </w:p>
    <w:p>
      <w:pPr>
        <w:ind w:firstLine="0" w:firstLineChars="0"/>
        <w:rPr>
          <w:rFonts w:ascii="Times New Roman" w:hAnsi="Times New Roman"/>
          <w:color w:val="auto"/>
          <w:sz w:val="21"/>
          <w:highlight w:val="none"/>
          <w:u w:val="single"/>
        </w:rPr>
      </w:pPr>
      <w:r>
        <w:rPr>
          <w:rFonts w:ascii="Times New Roman" w:hAnsi="Times New Roman"/>
          <w:color w:val="auto"/>
          <w:sz w:val="21"/>
          <w:highlight w:val="none"/>
        </w:rPr>
        <w:t>专业分类：</w:t>
      </w:r>
      <w:r>
        <w:rPr>
          <w:rFonts w:ascii="Times New Roman" w:hAnsi="Times New Roman"/>
          <w:color w:val="auto"/>
          <w:sz w:val="21"/>
          <w:highlight w:val="none"/>
          <w:u w:val="single"/>
        </w:rPr>
        <w:t xml:space="preserve">                    </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2415"/>
        <w:gridCol w:w="1085"/>
        <w:gridCol w:w="925"/>
        <w:gridCol w:w="812"/>
        <w:gridCol w:w="812"/>
        <w:gridCol w:w="812"/>
        <w:gridCol w:w="812"/>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425" w:type="pct"/>
            <w:vMerge w:val="restart"/>
            <w:vAlign w:val="center"/>
          </w:tcPr>
          <w:p>
            <w:pPr>
              <w:pStyle w:val="215"/>
              <w:snapToGrid w:val="0"/>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序号</w:t>
            </w:r>
          </w:p>
        </w:tc>
        <w:tc>
          <w:tcPr>
            <w:tcW w:w="1301" w:type="pct"/>
            <w:vMerge w:val="restart"/>
            <w:vAlign w:val="center"/>
          </w:tcPr>
          <w:p>
            <w:pPr>
              <w:pStyle w:val="215"/>
              <w:snapToGrid w:val="0"/>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供应商名称</w:t>
            </w:r>
          </w:p>
        </w:tc>
        <w:tc>
          <w:tcPr>
            <w:tcW w:w="584" w:type="pct"/>
            <w:vMerge w:val="restart"/>
            <w:vAlign w:val="center"/>
          </w:tcPr>
          <w:p>
            <w:pPr>
              <w:pStyle w:val="215"/>
              <w:snapToGrid w:val="0"/>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联系人</w:t>
            </w:r>
          </w:p>
          <w:p>
            <w:pPr>
              <w:pStyle w:val="215"/>
              <w:snapToGrid w:val="0"/>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姓名</w:t>
            </w:r>
          </w:p>
        </w:tc>
        <w:tc>
          <w:tcPr>
            <w:tcW w:w="498" w:type="pct"/>
            <w:vMerge w:val="restart"/>
            <w:vAlign w:val="center"/>
          </w:tcPr>
          <w:p>
            <w:pPr>
              <w:pStyle w:val="215"/>
              <w:snapToGrid w:val="0"/>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联系</w:t>
            </w:r>
          </w:p>
          <w:p>
            <w:pPr>
              <w:pStyle w:val="215"/>
              <w:snapToGrid w:val="0"/>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方式</w:t>
            </w:r>
          </w:p>
        </w:tc>
        <w:tc>
          <w:tcPr>
            <w:tcW w:w="1748" w:type="pct"/>
            <w:gridSpan w:val="4"/>
            <w:vAlign w:val="center"/>
          </w:tcPr>
          <w:p>
            <w:pPr>
              <w:pStyle w:val="215"/>
              <w:snapToGrid w:val="0"/>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信用考核</w:t>
            </w:r>
          </w:p>
        </w:tc>
        <w:tc>
          <w:tcPr>
            <w:tcW w:w="444" w:type="pct"/>
            <w:vMerge w:val="restart"/>
            <w:vAlign w:val="center"/>
          </w:tcPr>
          <w:p>
            <w:pPr>
              <w:pStyle w:val="215"/>
              <w:snapToGrid w:val="0"/>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425" w:type="pct"/>
            <w:vMerge w:val="continue"/>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1301" w:type="pct"/>
            <w:vMerge w:val="continue"/>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584" w:type="pct"/>
            <w:vMerge w:val="continue"/>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98" w:type="pct"/>
            <w:vMerge w:val="continue"/>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得分</w:t>
            </w: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等级</w:t>
            </w: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得分</w:t>
            </w: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等级</w:t>
            </w:r>
          </w:p>
        </w:tc>
        <w:tc>
          <w:tcPr>
            <w:tcW w:w="444" w:type="pct"/>
            <w:vMerge w:val="continue"/>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25"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1301"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584"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98"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44"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25"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1301"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584"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98"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44"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25"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1301"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584"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98"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44"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25"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1301"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584"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98"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44"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25"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1301"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584"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98"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44"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25"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1301"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584"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98"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37"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c>
          <w:tcPr>
            <w:tcW w:w="444" w:type="pct"/>
            <w:vAlign w:val="center"/>
          </w:tcPr>
          <w:p>
            <w:pPr>
              <w:pStyle w:val="215"/>
              <w:snapToGrid w:val="0"/>
              <w:spacing w:line="240" w:lineRule="auto"/>
              <w:ind w:firstLine="0" w:firstLineChars="0"/>
              <w:jc w:val="center"/>
              <w:rPr>
                <w:rFonts w:ascii="Times New Roman" w:hAnsi="Times New Roman"/>
                <w:color w:val="auto"/>
                <w:sz w:val="21"/>
                <w:szCs w:val="21"/>
                <w:highlight w:val="none"/>
              </w:rPr>
            </w:pPr>
          </w:p>
        </w:tc>
      </w:tr>
    </w:tbl>
    <w:p>
      <w:pPr>
        <w:ind w:firstLine="0" w:firstLineChars="0"/>
        <w:jc w:val="center"/>
        <w:rPr>
          <w:rFonts w:ascii="Times New Roman" w:hAnsi="Times New Roman"/>
          <w:color w:val="auto"/>
          <w:highlight w:val="none"/>
        </w:rPr>
      </w:pPr>
    </w:p>
    <w:p>
      <w:pPr>
        <w:ind w:firstLine="0" w:firstLineChars="0"/>
        <w:jc w:val="center"/>
        <w:rPr>
          <w:rFonts w:ascii="Times New Roman" w:hAnsi="Times New Roman"/>
          <w:color w:val="auto"/>
          <w:highlight w:val="none"/>
        </w:rPr>
      </w:pPr>
    </w:p>
    <w:p>
      <w:pPr>
        <w:ind w:firstLine="0" w:firstLineChars="0"/>
        <w:jc w:val="center"/>
        <w:rPr>
          <w:rFonts w:ascii="Times New Roman" w:hAnsi="Times New Roman"/>
          <w:color w:val="auto"/>
          <w:highlight w:val="none"/>
        </w:rPr>
      </w:pPr>
    </w:p>
    <w:p>
      <w:pPr>
        <w:ind w:firstLine="0" w:firstLineChars="0"/>
        <w:jc w:val="center"/>
        <w:rPr>
          <w:rFonts w:ascii="Times New Roman" w:hAnsi="Times New Roman"/>
          <w:color w:val="auto"/>
          <w:highlight w:val="none"/>
        </w:rPr>
      </w:pPr>
    </w:p>
    <w:p>
      <w:pPr>
        <w:ind w:firstLine="0" w:firstLineChars="0"/>
        <w:jc w:val="center"/>
        <w:rPr>
          <w:rFonts w:ascii="Times New Roman" w:hAnsi="Times New Roman"/>
          <w:color w:val="auto"/>
          <w:highlight w:val="none"/>
        </w:rPr>
      </w:pPr>
    </w:p>
    <w:p>
      <w:pPr>
        <w:ind w:firstLine="0" w:firstLineChars="0"/>
        <w:jc w:val="center"/>
        <w:rPr>
          <w:rFonts w:ascii="Times New Roman" w:hAnsi="Times New Roman"/>
          <w:color w:val="auto"/>
          <w:highlight w:val="none"/>
        </w:rPr>
      </w:pPr>
    </w:p>
    <w:p>
      <w:pPr>
        <w:ind w:firstLine="0" w:firstLineChars="0"/>
        <w:jc w:val="center"/>
        <w:rPr>
          <w:rFonts w:ascii="Times New Roman" w:hAnsi="Times New Roman"/>
          <w:color w:val="auto"/>
          <w:highlight w:val="none"/>
        </w:rPr>
      </w:pPr>
    </w:p>
    <w:p>
      <w:pPr>
        <w:ind w:firstLine="0" w:firstLineChars="0"/>
        <w:jc w:val="center"/>
        <w:rPr>
          <w:rFonts w:ascii="Times New Roman" w:hAnsi="Times New Roman"/>
          <w:color w:val="auto"/>
          <w:highlight w:val="none"/>
        </w:rPr>
      </w:pPr>
    </w:p>
    <w:p>
      <w:pPr>
        <w:ind w:firstLine="0" w:firstLineChars="0"/>
        <w:jc w:val="center"/>
        <w:rPr>
          <w:rFonts w:ascii="Times New Roman" w:hAnsi="Times New Roman"/>
          <w:color w:val="auto"/>
          <w:highlight w:val="none"/>
        </w:rPr>
      </w:pPr>
    </w:p>
    <w:p>
      <w:pPr>
        <w:ind w:firstLine="0" w:firstLineChars="0"/>
        <w:jc w:val="center"/>
        <w:rPr>
          <w:rFonts w:ascii="Times New Roman" w:hAnsi="Times New Roman"/>
          <w:color w:val="auto"/>
          <w:highlight w:val="none"/>
        </w:rPr>
      </w:pPr>
    </w:p>
    <w:p>
      <w:pPr>
        <w:ind w:firstLine="0" w:firstLineChars="0"/>
        <w:jc w:val="center"/>
        <w:rPr>
          <w:rFonts w:ascii="Times New Roman" w:hAnsi="Times New Roman"/>
          <w:color w:val="auto"/>
          <w:highlight w:val="none"/>
        </w:rPr>
      </w:pPr>
    </w:p>
    <w:p>
      <w:pPr>
        <w:ind w:firstLine="0" w:firstLineChars="0"/>
        <w:jc w:val="center"/>
        <w:rPr>
          <w:rFonts w:ascii="Times New Roman" w:hAnsi="Times New Roman"/>
          <w:color w:val="auto"/>
          <w:highlight w:val="none"/>
        </w:rPr>
      </w:pPr>
    </w:p>
    <w:p>
      <w:pPr>
        <w:ind w:firstLine="0" w:firstLineChars="0"/>
        <w:jc w:val="center"/>
        <w:rPr>
          <w:rFonts w:ascii="Times New Roman" w:hAnsi="Times New Roman"/>
          <w:color w:val="auto"/>
          <w:highlight w:val="none"/>
        </w:rPr>
      </w:pPr>
    </w:p>
    <w:p>
      <w:pPr>
        <w:ind w:firstLine="0" w:firstLineChars="0"/>
        <w:jc w:val="center"/>
        <w:rPr>
          <w:rFonts w:ascii="Times New Roman" w:hAnsi="Times New Roman"/>
          <w:color w:val="auto"/>
          <w:highlight w:val="none"/>
        </w:rPr>
      </w:pPr>
    </w:p>
    <w:p>
      <w:pPr>
        <w:ind w:firstLine="0" w:firstLineChars="0"/>
        <w:jc w:val="center"/>
        <w:rPr>
          <w:rFonts w:ascii="Times New Roman" w:hAnsi="Times New Roman"/>
          <w:color w:val="auto"/>
          <w:highlight w:val="none"/>
        </w:rPr>
      </w:pPr>
    </w:p>
    <w:p>
      <w:pPr>
        <w:ind w:firstLine="0" w:firstLineChars="0"/>
        <w:jc w:val="center"/>
        <w:rPr>
          <w:rFonts w:ascii="Times New Roman" w:hAnsi="Times New Roman"/>
          <w:color w:val="auto"/>
          <w:highlight w:val="none"/>
        </w:rPr>
      </w:pPr>
    </w:p>
    <w:p>
      <w:pPr>
        <w:ind w:firstLine="0" w:firstLineChars="0"/>
        <w:jc w:val="center"/>
        <w:rPr>
          <w:rFonts w:ascii="Times New Roman" w:hAnsi="Times New Roman"/>
          <w:color w:val="auto"/>
          <w:highlight w:val="none"/>
        </w:rPr>
      </w:pPr>
    </w:p>
    <w:p>
      <w:pPr>
        <w:ind w:firstLine="0" w:firstLineChars="0"/>
        <w:jc w:val="center"/>
        <w:rPr>
          <w:rFonts w:ascii="Times New Roman" w:hAnsi="Times New Roman"/>
          <w:color w:val="auto"/>
          <w:highlight w:val="none"/>
        </w:rPr>
      </w:pPr>
    </w:p>
    <w:p>
      <w:pPr>
        <w:ind w:firstLine="0" w:firstLineChars="0"/>
        <w:jc w:val="center"/>
        <w:rPr>
          <w:rFonts w:hint="eastAsia" w:ascii="Times New Roman" w:hAnsi="Times New Roman"/>
          <w:color w:val="auto"/>
          <w:highlight w:val="none"/>
        </w:rPr>
      </w:pPr>
    </w:p>
    <w:p>
      <w:pPr>
        <w:ind w:firstLine="0" w:firstLineChars="0"/>
        <w:rPr>
          <w:rFonts w:ascii="Times New Roman" w:hAnsi="Times New Roman"/>
          <w:b/>
          <w:color w:val="auto"/>
          <w:sz w:val="28"/>
          <w:highlight w:val="none"/>
        </w:rPr>
      </w:pPr>
      <w:r>
        <w:rPr>
          <w:rFonts w:ascii="Times New Roman" w:hAnsi="Times New Roman"/>
          <w:color w:val="auto"/>
          <w:highlight w:val="none"/>
        </w:rPr>
        <w:t>附件2</w:t>
      </w:r>
    </w:p>
    <w:p>
      <w:pPr>
        <w:ind w:firstLine="0" w:firstLineChars="0"/>
        <w:jc w:val="center"/>
        <w:rPr>
          <w:rFonts w:ascii="Times New Roman" w:hAnsi="Times New Roman"/>
          <w:b/>
          <w:color w:val="auto"/>
          <w:sz w:val="28"/>
          <w:highlight w:val="none"/>
        </w:rPr>
      </w:pPr>
      <w:r>
        <w:rPr>
          <w:rFonts w:ascii="Times New Roman" w:hAnsi="Times New Roman"/>
          <w:b/>
          <w:color w:val="auto"/>
          <w:sz w:val="28"/>
          <w:highlight w:val="none"/>
        </w:rPr>
        <w:t>供应商基本情况登记表</w:t>
      </w:r>
    </w:p>
    <w:tbl>
      <w:tblPr>
        <w:tblStyle w:val="13"/>
        <w:tblW w:w="5000" w:type="pct"/>
        <w:tblInd w:w="0" w:type="dxa"/>
        <w:shd w:val="clear" w:color="auto" w:fill="FFFFFF" w:themeFill="background1"/>
        <w:tblLayout w:type="autofit"/>
        <w:tblCellMar>
          <w:top w:w="0" w:type="dxa"/>
          <w:left w:w="108" w:type="dxa"/>
          <w:bottom w:w="0" w:type="dxa"/>
          <w:right w:w="108" w:type="dxa"/>
        </w:tblCellMar>
      </w:tblPr>
      <w:tblGrid>
        <w:gridCol w:w="1995"/>
        <w:gridCol w:w="1660"/>
        <w:gridCol w:w="1235"/>
        <w:gridCol w:w="1504"/>
        <w:gridCol w:w="1447"/>
        <w:gridCol w:w="1445"/>
      </w:tblGrid>
      <w:tr>
        <w:tblPrEx>
          <w:shd w:val="clear" w:color="auto" w:fill="FFFFFF" w:themeFill="background1"/>
          <w:tblCellMar>
            <w:top w:w="0" w:type="dxa"/>
            <w:left w:w="108" w:type="dxa"/>
            <w:bottom w:w="0" w:type="dxa"/>
            <w:right w:w="108" w:type="dxa"/>
          </w:tblCellMar>
        </w:tblPrEx>
        <w:trPr>
          <w:trHeight w:val="330" w:hRule="atLeast"/>
        </w:trPr>
        <w:tc>
          <w:tcPr>
            <w:tcW w:w="1074" w:type="pct"/>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供应商名称</w:t>
            </w:r>
          </w:p>
        </w:tc>
        <w:tc>
          <w:tcPr>
            <w:tcW w:w="1559" w:type="pct"/>
            <w:gridSpan w:val="2"/>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810" w:type="pct"/>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供应商编码</w:t>
            </w:r>
          </w:p>
        </w:tc>
        <w:tc>
          <w:tcPr>
            <w:tcW w:w="1557" w:type="pct"/>
            <w:gridSpan w:val="2"/>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shd w:val="clear" w:color="auto" w:fill="FFFFFF" w:themeFill="background1"/>
          <w:tblCellMar>
            <w:top w:w="0" w:type="dxa"/>
            <w:left w:w="108" w:type="dxa"/>
            <w:bottom w:w="0" w:type="dxa"/>
            <w:right w:w="108" w:type="dxa"/>
          </w:tblCellMar>
        </w:tblPrEx>
        <w:trPr>
          <w:trHeight w:val="330" w:hRule="atLeast"/>
        </w:trPr>
        <w:tc>
          <w:tcPr>
            <w:tcW w:w="1074" w:type="pct"/>
            <w:tcBorders>
              <w:top w:val="nil"/>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入库专业类别</w:t>
            </w:r>
          </w:p>
        </w:tc>
        <w:tc>
          <w:tcPr>
            <w:tcW w:w="1559" w:type="pct"/>
            <w:gridSpan w:val="2"/>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810"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主营业务</w:t>
            </w:r>
          </w:p>
        </w:tc>
        <w:tc>
          <w:tcPr>
            <w:tcW w:w="1557" w:type="pct"/>
            <w:gridSpan w:val="2"/>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shd w:val="clear" w:color="auto" w:fill="FFFFFF" w:themeFill="background1"/>
          <w:tblCellMar>
            <w:top w:w="0" w:type="dxa"/>
            <w:left w:w="108" w:type="dxa"/>
            <w:bottom w:w="0" w:type="dxa"/>
            <w:right w:w="108" w:type="dxa"/>
          </w:tblCellMar>
        </w:tblPrEx>
        <w:trPr>
          <w:trHeight w:val="330" w:hRule="atLeast"/>
        </w:trPr>
        <w:tc>
          <w:tcPr>
            <w:tcW w:w="1074" w:type="pct"/>
            <w:tcBorders>
              <w:top w:val="nil"/>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纳税人资格</w:t>
            </w:r>
          </w:p>
        </w:tc>
        <w:tc>
          <w:tcPr>
            <w:tcW w:w="1559" w:type="pct"/>
            <w:gridSpan w:val="2"/>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810"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企业性质</w:t>
            </w:r>
          </w:p>
        </w:tc>
        <w:tc>
          <w:tcPr>
            <w:tcW w:w="1557" w:type="pct"/>
            <w:gridSpan w:val="2"/>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shd w:val="clear" w:color="auto" w:fill="FFFFFF" w:themeFill="background1"/>
          <w:tblCellMar>
            <w:top w:w="0" w:type="dxa"/>
            <w:left w:w="108" w:type="dxa"/>
            <w:bottom w:w="0" w:type="dxa"/>
            <w:right w:w="108" w:type="dxa"/>
          </w:tblCellMar>
        </w:tblPrEx>
        <w:trPr>
          <w:trHeight w:val="330" w:hRule="atLeast"/>
        </w:trPr>
        <w:tc>
          <w:tcPr>
            <w:tcW w:w="1074" w:type="pct"/>
            <w:tcBorders>
              <w:top w:val="nil"/>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统一信用代码</w:t>
            </w:r>
          </w:p>
        </w:tc>
        <w:tc>
          <w:tcPr>
            <w:tcW w:w="1559" w:type="pct"/>
            <w:gridSpan w:val="2"/>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810"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法人代表</w:t>
            </w:r>
          </w:p>
        </w:tc>
        <w:tc>
          <w:tcPr>
            <w:tcW w:w="1557" w:type="pct"/>
            <w:gridSpan w:val="2"/>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shd w:val="clear" w:color="auto" w:fill="FFFFFF" w:themeFill="background1"/>
          <w:tblCellMar>
            <w:top w:w="0" w:type="dxa"/>
            <w:left w:w="108" w:type="dxa"/>
            <w:bottom w:w="0" w:type="dxa"/>
            <w:right w:w="108" w:type="dxa"/>
          </w:tblCellMar>
        </w:tblPrEx>
        <w:trPr>
          <w:trHeight w:val="330" w:hRule="atLeast"/>
        </w:trPr>
        <w:tc>
          <w:tcPr>
            <w:tcW w:w="1074" w:type="pct"/>
            <w:tcBorders>
              <w:top w:val="nil"/>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注册资金（万元）</w:t>
            </w:r>
          </w:p>
        </w:tc>
        <w:tc>
          <w:tcPr>
            <w:tcW w:w="1559" w:type="pct"/>
            <w:gridSpan w:val="2"/>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810"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资质等级</w:t>
            </w:r>
          </w:p>
        </w:tc>
        <w:tc>
          <w:tcPr>
            <w:tcW w:w="1557" w:type="pct"/>
            <w:gridSpan w:val="2"/>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shd w:val="clear" w:color="auto" w:fill="FFFFFF" w:themeFill="background1"/>
          <w:tblCellMar>
            <w:top w:w="0" w:type="dxa"/>
            <w:left w:w="108" w:type="dxa"/>
            <w:bottom w:w="0" w:type="dxa"/>
            <w:right w:w="108" w:type="dxa"/>
          </w:tblCellMar>
        </w:tblPrEx>
        <w:trPr>
          <w:trHeight w:val="330" w:hRule="atLeast"/>
        </w:trPr>
        <w:tc>
          <w:tcPr>
            <w:tcW w:w="1074" w:type="pct"/>
            <w:tcBorders>
              <w:top w:val="nil"/>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品牌名称</w:t>
            </w:r>
          </w:p>
        </w:tc>
        <w:tc>
          <w:tcPr>
            <w:tcW w:w="3926" w:type="pct"/>
            <w:gridSpan w:val="5"/>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shd w:val="clear" w:color="auto" w:fill="FFFFFF" w:themeFill="background1"/>
          <w:tblCellMar>
            <w:top w:w="0" w:type="dxa"/>
            <w:left w:w="108" w:type="dxa"/>
            <w:bottom w:w="0" w:type="dxa"/>
            <w:right w:w="108" w:type="dxa"/>
          </w:tblCellMar>
        </w:tblPrEx>
        <w:trPr>
          <w:trHeight w:val="330" w:hRule="atLeast"/>
        </w:trPr>
        <w:tc>
          <w:tcPr>
            <w:tcW w:w="1074" w:type="pct"/>
            <w:tcBorders>
              <w:top w:val="nil"/>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主要业务区域</w:t>
            </w:r>
          </w:p>
        </w:tc>
        <w:tc>
          <w:tcPr>
            <w:tcW w:w="3926" w:type="pct"/>
            <w:gridSpan w:val="5"/>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p>
        </w:tc>
      </w:tr>
      <w:tr>
        <w:tblPrEx>
          <w:shd w:val="clear" w:color="auto" w:fill="FFFFFF" w:themeFill="background1"/>
          <w:tblCellMar>
            <w:top w:w="0" w:type="dxa"/>
            <w:left w:w="108" w:type="dxa"/>
            <w:bottom w:w="0" w:type="dxa"/>
            <w:right w:w="108" w:type="dxa"/>
          </w:tblCellMar>
        </w:tblPrEx>
        <w:trPr>
          <w:trHeight w:val="330" w:hRule="atLeast"/>
        </w:trPr>
        <w:tc>
          <w:tcPr>
            <w:tcW w:w="1074" w:type="pct"/>
            <w:tcBorders>
              <w:top w:val="nil"/>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公司地址</w:t>
            </w:r>
          </w:p>
        </w:tc>
        <w:tc>
          <w:tcPr>
            <w:tcW w:w="3926" w:type="pct"/>
            <w:gridSpan w:val="5"/>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shd w:val="clear" w:color="auto" w:fill="FFFFFF" w:themeFill="background1"/>
          <w:tblCellMar>
            <w:top w:w="0" w:type="dxa"/>
            <w:left w:w="108" w:type="dxa"/>
            <w:bottom w:w="0" w:type="dxa"/>
            <w:right w:w="108" w:type="dxa"/>
          </w:tblCellMar>
        </w:tblPrEx>
        <w:trPr>
          <w:trHeight w:val="330" w:hRule="atLeast"/>
        </w:trPr>
        <w:tc>
          <w:tcPr>
            <w:tcW w:w="1074" w:type="pct"/>
            <w:tcBorders>
              <w:top w:val="nil"/>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企业负责人姓名</w:t>
            </w:r>
          </w:p>
        </w:tc>
        <w:tc>
          <w:tcPr>
            <w:tcW w:w="894"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665"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职位</w:t>
            </w:r>
          </w:p>
        </w:tc>
        <w:tc>
          <w:tcPr>
            <w:tcW w:w="810"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779"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联系方式</w:t>
            </w:r>
          </w:p>
        </w:tc>
        <w:tc>
          <w:tcPr>
            <w:tcW w:w="778"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shd w:val="clear" w:color="auto" w:fill="FFFFFF" w:themeFill="background1"/>
          <w:tblCellMar>
            <w:top w:w="0" w:type="dxa"/>
            <w:left w:w="108" w:type="dxa"/>
            <w:bottom w:w="0" w:type="dxa"/>
            <w:right w:w="108" w:type="dxa"/>
          </w:tblCellMar>
        </w:tblPrEx>
        <w:trPr>
          <w:trHeight w:val="330" w:hRule="atLeast"/>
        </w:trPr>
        <w:tc>
          <w:tcPr>
            <w:tcW w:w="1074" w:type="pct"/>
            <w:tcBorders>
              <w:top w:val="nil"/>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企业经办人姓名</w:t>
            </w:r>
          </w:p>
        </w:tc>
        <w:tc>
          <w:tcPr>
            <w:tcW w:w="894"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665"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职位</w:t>
            </w:r>
          </w:p>
        </w:tc>
        <w:tc>
          <w:tcPr>
            <w:tcW w:w="810"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779"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联系方式及邮箱</w:t>
            </w:r>
          </w:p>
        </w:tc>
        <w:tc>
          <w:tcPr>
            <w:tcW w:w="778"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shd w:val="clear" w:color="auto" w:fill="FFFFFF" w:themeFill="background1"/>
          <w:tblCellMar>
            <w:top w:w="0" w:type="dxa"/>
            <w:left w:w="108" w:type="dxa"/>
            <w:bottom w:w="0" w:type="dxa"/>
            <w:right w:w="108" w:type="dxa"/>
          </w:tblCellMar>
        </w:tblPrEx>
        <w:trPr>
          <w:trHeight w:val="330" w:hRule="atLeast"/>
        </w:trPr>
        <w:tc>
          <w:tcPr>
            <w:tcW w:w="1074" w:type="pct"/>
            <w:vMerge w:val="restart"/>
            <w:tcBorders>
              <w:top w:val="nil"/>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在职员工数量</w:t>
            </w:r>
          </w:p>
        </w:tc>
        <w:tc>
          <w:tcPr>
            <w:tcW w:w="894"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社保人数</w:t>
            </w:r>
          </w:p>
        </w:tc>
        <w:tc>
          <w:tcPr>
            <w:tcW w:w="665"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810" w:type="pct"/>
            <w:tcBorders>
              <w:top w:val="nil"/>
              <w:left w:val="nil"/>
              <w:bottom w:val="nil"/>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近三年</w:t>
            </w:r>
          </w:p>
        </w:tc>
        <w:tc>
          <w:tcPr>
            <w:tcW w:w="779"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right"/>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年</w:t>
            </w:r>
          </w:p>
        </w:tc>
        <w:tc>
          <w:tcPr>
            <w:tcW w:w="778"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shd w:val="clear" w:color="auto" w:fill="FFFFFF" w:themeFill="background1"/>
          <w:tblCellMar>
            <w:top w:w="0" w:type="dxa"/>
            <w:left w:w="108" w:type="dxa"/>
            <w:bottom w:w="0" w:type="dxa"/>
            <w:right w:w="108" w:type="dxa"/>
          </w:tblCellMar>
        </w:tblPrEx>
        <w:trPr>
          <w:trHeight w:val="330" w:hRule="atLeast"/>
        </w:trPr>
        <w:tc>
          <w:tcPr>
            <w:tcW w:w="1074" w:type="pct"/>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894"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中高级职称</w:t>
            </w:r>
          </w:p>
        </w:tc>
        <w:tc>
          <w:tcPr>
            <w:tcW w:w="665"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810" w:type="pct"/>
            <w:tcBorders>
              <w:top w:val="nil"/>
              <w:left w:val="nil"/>
              <w:bottom w:val="nil"/>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工程营业额</w:t>
            </w:r>
          </w:p>
        </w:tc>
        <w:tc>
          <w:tcPr>
            <w:tcW w:w="779"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right"/>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年</w:t>
            </w:r>
          </w:p>
        </w:tc>
        <w:tc>
          <w:tcPr>
            <w:tcW w:w="778"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shd w:val="clear" w:color="auto" w:fill="FFFFFF" w:themeFill="background1"/>
          <w:tblCellMar>
            <w:top w:w="0" w:type="dxa"/>
            <w:left w:w="108" w:type="dxa"/>
            <w:bottom w:w="0" w:type="dxa"/>
            <w:right w:w="108" w:type="dxa"/>
          </w:tblCellMar>
        </w:tblPrEx>
        <w:trPr>
          <w:trHeight w:val="330" w:hRule="atLeast"/>
        </w:trPr>
        <w:tc>
          <w:tcPr>
            <w:tcW w:w="1074" w:type="pct"/>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894"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注册建造师</w:t>
            </w:r>
          </w:p>
        </w:tc>
        <w:tc>
          <w:tcPr>
            <w:tcW w:w="665"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810"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779"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right"/>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年</w:t>
            </w:r>
          </w:p>
        </w:tc>
        <w:tc>
          <w:tcPr>
            <w:tcW w:w="778"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shd w:val="clear" w:color="auto" w:fill="FFFFFF" w:themeFill="background1"/>
          <w:tblCellMar>
            <w:top w:w="0" w:type="dxa"/>
            <w:left w:w="108" w:type="dxa"/>
            <w:bottom w:w="0" w:type="dxa"/>
            <w:right w:w="108" w:type="dxa"/>
          </w:tblCellMar>
        </w:tblPrEx>
        <w:trPr>
          <w:trHeight w:val="330" w:hRule="atLeast"/>
        </w:trPr>
        <w:tc>
          <w:tcPr>
            <w:tcW w:w="1074" w:type="pct"/>
            <w:tcBorders>
              <w:top w:val="nil"/>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近三年所获奖项</w:t>
            </w:r>
          </w:p>
        </w:tc>
        <w:tc>
          <w:tcPr>
            <w:tcW w:w="3926" w:type="pct"/>
            <w:gridSpan w:val="5"/>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shd w:val="clear" w:color="auto" w:fill="FFFFFF" w:themeFill="background1"/>
          <w:tblCellMar>
            <w:top w:w="0" w:type="dxa"/>
            <w:left w:w="108" w:type="dxa"/>
            <w:bottom w:w="0" w:type="dxa"/>
            <w:right w:w="108" w:type="dxa"/>
          </w:tblCellMar>
        </w:tblPrEx>
        <w:trPr>
          <w:trHeight w:val="660" w:hRule="atLeast"/>
        </w:trPr>
        <w:tc>
          <w:tcPr>
            <w:tcW w:w="1074" w:type="pct"/>
            <w:vMerge w:val="restart"/>
            <w:tcBorders>
              <w:top w:val="nil"/>
              <w:left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与集团合作的项目</w:t>
            </w:r>
          </w:p>
        </w:tc>
        <w:tc>
          <w:tcPr>
            <w:tcW w:w="894"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合作项目名称</w:t>
            </w:r>
          </w:p>
        </w:tc>
        <w:tc>
          <w:tcPr>
            <w:tcW w:w="665"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项目经理</w:t>
            </w:r>
          </w:p>
        </w:tc>
        <w:tc>
          <w:tcPr>
            <w:tcW w:w="810"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合同金额</w:t>
            </w:r>
          </w:p>
        </w:tc>
        <w:tc>
          <w:tcPr>
            <w:tcW w:w="779"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开竣工时间</w:t>
            </w:r>
          </w:p>
        </w:tc>
        <w:tc>
          <w:tcPr>
            <w:tcW w:w="778"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合作内容</w:t>
            </w:r>
          </w:p>
        </w:tc>
      </w:tr>
      <w:tr>
        <w:tblPrEx>
          <w:shd w:val="clear" w:color="auto" w:fill="FFFFFF" w:themeFill="background1"/>
          <w:tblCellMar>
            <w:top w:w="0" w:type="dxa"/>
            <w:left w:w="108" w:type="dxa"/>
            <w:bottom w:w="0" w:type="dxa"/>
            <w:right w:w="108" w:type="dxa"/>
          </w:tblCellMar>
        </w:tblPrEx>
        <w:trPr>
          <w:trHeight w:val="345" w:hRule="atLeast"/>
        </w:trPr>
        <w:tc>
          <w:tcPr>
            <w:tcW w:w="1074" w:type="pct"/>
            <w:vMerge w:val="continue"/>
            <w:tcBorders>
              <w:left w:val="single" w:color="000000" w:sz="8" w:space="0"/>
              <w:right w:val="single" w:color="000000" w:sz="8" w:space="0"/>
            </w:tcBorders>
            <w:shd w:val="clear" w:color="auto" w:fill="FFFFFF" w:themeFill="background1"/>
            <w:vAlign w:val="center"/>
          </w:tcPr>
          <w:p>
            <w:pPr>
              <w:adjustRightInd w:val="0"/>
              <w:snapToGrid w:val="0"/>
              <w:spacing w:line="240" w:lineRule="auto"/>
              <w:ind w:firstLine="420"/>
              <w:rPr>
                <w:rFonts w:ascii="Times New Roman" w:hAnsi="Times New Roman" w:eastAsiaTheme="minorEastAsia"/>
                <w:color w:val="auto"/>
                <w:kern w:val="0"/>
                <w:sz w:val="21"/>
                <w:szCs w:val="21"/>
                <w:highlight w:val="none"/>
              </w:rPr>
            </w:pPr>
          </w:p>
        </w:tc>
        <w:tc>
          <w:tcPr>
            <w:tcW w:w="894"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665"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810"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779"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778" w:type="pct"/>
            <w:tcBorders>
              <w:top w:val="nil"/>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shd w:val="clear" w:color="auto" w:fill="FFFFFF" w:themeFill="background1"/>
          <w:tblCellMar>
            <w:top w:w="0" w:type="dxa"/>
            <w:left w:w="108" w:type="dxa"/>
            <w:bottom w:w="0" w:type="dxa"/>
            <w:right w:w="108" w:type="dxa"/>
          </w:tblCellMar>
        </w:tblPrEx>
        <w:trPr>
          <w:trHeight w:val="345" w:hRule="atLeast"/>
        </w:trPr>
        <w:tc>
          <w:tcPr>
            <w:tcW w:w="1074" w:type="pct"/>
            <w:vMerge w:val="continue"/>
            <w:tcBorders>
              <w:left w:val="single" w:color="000000" w:sz="8" w:space="0"/>
              <w:right w:val="single" w:color="000000" w:sz="8" w:space="0"/>
            </w:tcBorders>
            <w:shd w:val="clear" w:color="auto" w:fill="FFFFFF" w:themeFill="background1"/>
            <w:vAlign w:val="center"/>
          </w:tcPr>
          <w:p>
            <w:pPr>
              <w:adjustRightInd w:val="0"/>
              <w:snapToGrid w:val="0"/>
              <w:spacing w:line="240" w:lineRule="auto"/>
              <w:ind w:firstLine="420"/>
              <w:rPr>
                <w:rFonts w:ascii="Times New Roman" w:hAnsi="Times New Roman" w:eastAsiaTheme="minorEastAsia"/>
                <w:color w:val="auto"/>
                <w:kern w:val="0"/>
                <w:sz w:val="21"/>
                <w:szCs w:val="21"/>
                <w:highlight w:val="none"/>
              </w:rPr>
            </w:pPr>
          </w:p>
        </w:tc>
        <w:tc>
          <w:tcPr>
            <w:tcW w:w="894"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665"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810"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779" w:type="pct"/>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778" w:type="pct"/>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adjustRightInd w:val="0"/>
              <w:snapToGrid w:val="0"/>
              <w:spacing w:line="240" w:lineRule="auto"/>
              <w:ind w:firstLine="420"/>
              <w:rPr>
                <w:rFonts w:ascii="Times New Roman" w:hAnsi="Times New Roman" w:eastAsiaTheme="minorEastAsia"/>
                <w:color w:val="auto"/>
                <w:kern w:val="0"/>
                <w:sz w:val="21"/>
                <w:szCs w:val="21"/>
                <w:highlight w:val="none"/>
              </w:rPr>
            </w:pPr>
          </w:p>
        </w:tc>
      </w:tr>
      <w:tr>
        <w:tblPrEx>
          <w:shd w:val="clear" w:color="auto" w:fill="FFFFFF" w:themeFill="background1"/>
          <w:tblCellMar>
            <w:top w:w="0" w:type="dxa"/>
            <w:left w:w="108" w:type="dxa"/>
            <w:bottom w:w="0" w:type="dxa"/>
            <w:right w:w="108" w:type="dxa"/>
          </w:tblCellMar>
        </w:tblPrEx>
        <w:trPr>
          <w:trHeight w:val="300" w:hRule="atLeast"/>
        </w:trPr>
        <w:tc>
          <w:tcPr>
            <w:tcW w:w="1074" w:type="pct"/>
            <w:vMerge w:val="continue"/>
            <w:tcBorders>
              <w:left w:val="single" w:color="000000" w:sz="8" w:space="0"/>
              <w:right w:val="single" w:color="000000" w:sz="8" w:space="0"/>
            </w:tcBorders>
            <w:shd w:val="clear" w:color="auto" w:fill="FFFFFF" w:themeFill="background1"/>
            <w:vAlign w:val="center"/>
          </w:tcPr>
          <w:p>
            <w:pPr>
              <w:adjustRightInd w:val="0"/>
              <w:snapToGrid w:val="0"/>
              <w:spacing w:line="240" w:lineRule="auto"/>
              <w:ind w:firstLine="420"/>
              <w:rPr>
                <w:rFonts w:ascii="Times New Roman" w:hAnsi="Times New Roman" w:eastAsiaTheme="minorEastAsia"/>
                <w:color w:val="auto"/>
                <w:kern w:val="0"/>
                <w:sz w:val="21"/>
                <w:szCs w:val="21"/>
                <w:highlight w:val="none"/>
              </w:rPr>
            </w:pPr>
          </w:p>
        </w:tc>
        <w:tc>
          <w:tcPr>
            <w:tcW w:w="894"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p>
        </w:tc>
        <w:tc>
          <w:tcPr>
            <w:tcW w:w="665" w:type="pct"/>
            <w:tcBorders>
              <w:top w:val="nil"/>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p>
        </w:tc>
        <w:tc>
          <w:tcPr>
            <w:tcW w:w="810" w:type="pct"/>
            <w:tcBorders>
              <w:top w:val="nil"/>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p>
        </w:tc>
        <w:tc>
          <w:tcPr>
            <w:tcW w:w="779" w:type="pct"/>
            <w:tcBorders>
              <w:top w:val="nil"/>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p>
        </w:tc>
        <w:tc>
          <w:tcPr>
            <w:tcW w:w="778" w:type="pct"/>
            <w:tcBorders>
              <w:top w:val="nil"/>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r>
      <w:tr>
        <w:tblPrEx>
          <w:shd w:val="clear" w:color="auto" w:fill="FFFFFF" w:themeFill="background1"/>
          <w:tblCellMar>
            <w:top w:w="0" w:type="dxa"/>
            <w:left w:w="108" w:type="dxa"/>
            <w:bottom w:w="0" w:type="dxa"/>
            <w:right w:w="108" w:type="dxa"/>
          </w:tblCellMar>
        </w:tblPrEx>
        <w:trPr>
          <w:trHeight w:val="10" w:hRule="atLeast"/>
        </w:trPr>
        <w:tc>
          <w:tcPr>
            <w:tcW w:w="1074" w:type="pct"/>
            <w:vMerge w:val="continue"/>
            <w:tcBorders>
              <w:left w:val="single" w:color="000000" w:sz="8" w:space="0"/>
              <w:right w:val="single" w:color="000000" w:sz="8" w:space="0"/>
            </w:tcBorders>
            <w:shd w:val="clear" w:color="auto" w:fill="FFFFFF" w:themeFill="background1"/>
            <w:vAlign w:val="center"/>
          </w:tcPr>
          <w:p>
            <w:pPr>
              <w:adjustRightInd w:val="0"/>
              <w:snapToGrid w:val="0"/>
              <w:spacing w:line="240" w:lineRule="auto"/>
              <w:ind w:firstLine="420"/>
              <w:rPr>
                <w:rFonts w:ascii="Times New Roman" w:hAnsi="Times New Roman" w:eastAsiaTheme="minorEastAsia"/>
                <w:color w:val="auto"/>
                <w:kern w:val="0"/>
                <w:sz w:val="21"/>
                <w:szCs w:val="21"/>
                <w:highlight w:val="none"/>
              </w:rPr>
            </w:pPr>
          </w:p>
        </w:tc>
        <w:tc>
          <w:tcPr>
            <w:tcW w:w="894" w:type="pct"/>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p>
        </w:tc>
        <w:tc>
          <w:tcPr>
            <w:tcW w:w="665" w:type="pct"/>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p>
        </w:tc>
        <w:tc>
          <w:tcPr>
            <w:tcW w:w="810" w:type="pct"/>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p>
        </w:tc>
        <w:tc>
          <w:tcPr>
            <w:tcW w:w="779" w:type="pct"/>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p>
        </w:tc>
        <w:tc>
          <w:tcPr>
            <w:tcW w:w="778" w:type="pct"/>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r>
      <w:tr>
        <w:tblPrEx>
          <w:shd w:val="clear" w:color="auto" w:fill="FFFFFF" w:themeFill="background1"/>
          <w:tblCellMar>
            <w:top w:w="0" w:type="dxa"/>
            <w:left w:w="108" w:type="dxa"/>
            <w:bottom w:w="0" w:type="dxa"/>
            <w:right w:w="108" w:type="dxa"/>
          </w:tblCellMar>
        </w:tblPrEx>
        <w:trPr>
          <w:trHeight w:val="330" w:hRule="atLeast"/>
        </w:trPr>
        <w:tc>
          <w:tcPr>
            <w:tcW w:w="1074" w:type="pct"/>
            <w:vMerge w:val="continue"/>
            <w:tcBorders>
              <w:left w:val="single" w:color="000000" w:sz="8" w:space="0"/>
              <w:bottom w:val="single" w:color="000000" w:sz="8" w:space="0"/>
              <w:right w:val="single" w:color="000000" w:sz="8" w:space="0"/>
            </w:tcBorders>
            <w:shd w:val="clear" w:color="auto" w:fill="FFFFFF" w:themeFill="background1"/>
            <w:vAlign w:val="center"/>
          </w:tcPr>
          <w:p>
            <w:pPr>
              <w:adjustRightInd w:val="0"/>
              <w:snapToGrid w:val="0"/>
              <w:spacing w:line="240" w:lineRule="auto"/>
              <w:ind w:firstLine="420"/>
              <w:rPr>
                <w:rFonts w:ascii="Times New Roman" w:hAnsi="Times New Roman" w:eastAsiaTheme="minorEastAsia"/>
                <w:color w:val="auto"/>
                <w:kern w:val="0"/>
                <w:sz w:val="21"/>
                <w:szCs w:val="21"/>
                <w:highlight w:val="none"/>
              </w:rPr>
            </w:pPr>
          </w:p>
        </w:tc>
        <w:tc>
          <w:tcPr>
            <w:tcW w:w="894" w:type="pct"/>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665" w:type="pct"/>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810" w:type="pct"/>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779" w:type="pct"/>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778" w:type="pct"/>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r>
      <w:tr>
        <w:tblPrEx>
          <w:tblCellMar>
            <w:top w:w="0" w:type="dxa"/>
            <w:left w:w="108" w:type="dxa"/>
            <w:bottom w:w="0" w:type="dxa"/>
            <w:right w:w="108" w:type="dxa"/>
          </w:tblCellMar>
        </w:tblPrEx>
        <w:trPr>
          <w:trHeight w:val="345" w:hRule="atLeast"/>
        </w:trPr>
        <w:tc>
          <w:tcPr>
            <w:tcW w:w="1074" w:type="pct"/>
            <w:vMerge w:val="restart"/>
            <w:tcBorders>
              <w:top w:val="single" w:color="000000" w:sz="8" w:space="0"/>
              <w:left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年度考核成绩</w:t>
            </w:r>
          </w:p>
        </w:tc>
        <w:tc>
          <w:tcPr>
            <w:tcW w:w="894" w:type="pct"/>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年份</w:t>
            </w:r>
          </w:p>
        </w:tc>
        <w:tc>
          <w:tcPr>
            <w:tcW w:w="1475" w:type="pct"/>
            <w:gridSpan w:val="2"/>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考核成绩　</w:t>
            </w:r>
          </w:p>
        </w:tc>
        <w:tc>
          <w:tcPr>
            <w:tcW w:w="1557" w:type="pct"/>
            <w:gridSpan w:val="2"/>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信用等级　　</w:t>
            </w:r>
          </w:p>
        </w:tc>
      </w:tr>
      <w:tr>
        <w:tblPrEx>
          <w:tblCellMar>
            <w:top w:w="0" w:type="dxa"/>
            <w:left w:w="108" w:type="dxa"/>
            <w:bottom w:w="0" w:type="dxa"/>
            <w:right w:w="108" w:type="dxa"/>
          </w:tblCellMar>
        </w:tblPrEx>
        <w:trPr>
          <w:trHeight w:val="345" w:hRule="atLeast"/>
        </w:trPr>
        <w:tc>
          <w:tcPr>
            <w:tcW w:w="1074" w:type="pct"/>
            <w:vMerge w:val="continue"/>
            <w:tcBorders>
              <w:top w:val="single" w:color="000000" w:sz="8" w:space="0"/>
              <w:left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894" w:type="pct"/>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1</w:t>
            </w:r>
          </w:p>
        </w:tc>
        <w:tc>
          <w:tcPr>
            <w:tcW w:w="1475" w:type="pct"/>
            <w:gridSpan w:val="2"/>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p>
        </w:tc>
        <w:tc>
          <w:tcPr>
            <w:tcW w:w="1557" w:type="pct"/>
            <w:gridSpan w:val="2"/>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r>
      <w:tr>
        <w:tblPrEx>
          <w:tblCellMar>
            <w:top w:w="0" w:type="dxa"/>
            <w:left w:w="108" w:type="dxa"/>
            <w:bottom w:w="0" w:type="dxa"/>
            <w:right w:w="108" w:type="dxa"/>
          </w:tblCellMar>
        </w:tblPrEx>
        <w:trPr>
          <w:trHeight w:val="345" w:hRule="atLeast"/>
        </w:trPr>
        <w:tc>
          <w:tcPr>
            <w:tcW w:w="1074" w:type="pct"/>
            <w:vMerge w:val="continue"/>
            <w:tcBorders>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894"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2　</w:t>
            </w:r>
          </w:p>
        </w:tc>
        <w:tc>
          <w:tcPr>
            <w:tcW w:w="1475" w:type="pct"/>
            <w:gridSpan w:val="2"/>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1557" w:type="pct"/>
            <w:gridSpan w:val="2"/>
            <w:tcBorders>
              <w:top w:val="single" w:color="000000" w:sz="8" w:space="0"/>
              <w:left w:val="nil"/>
              <w:bottom w:val="single" w:color="000000" w:sz="8" w:space="0"/>
              <w:right w:val="single" w:color="000000" w:sz="8" w:space="0"/>
            </w:tcBorders>
            <w:shd w:val="clear" w:color="auto" w:fill="FFFFFF" w:themeFill="background1"/>
            <w:vAlign w:val="center"/>
          </w:tcPr>
          <w:p>
            <w:pPr>
              <w:adjustRightInd w:val="0"/>
              <w:snapToGrid w:val="0"/>
              <w:spacing w:line="240" w:lineRule="auto"/>
              <w:ind w:firstLine="42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tblCellMar>
            <w:top w:w="0" w:type="dxa"/>
            <w:left w:w="108" w:type="dxa"/>
            <w:bottom w:w="0" w:type="dxa"/>
            <w:right w:w="108" w:type="dxa"/>
          </w:tblCellMar>
        </w:tblPrEx>
        <w:trPr>
          <w:trHeight w:val="345" w:hRule="atLeast"/>
        </w:trPr>
        <w:tc>
          <w:tcPr>
            <w:tcW w:w="1074" w:type="pct"/>
            <w:tcBorders>
              <w:top w:val="nil"/>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所受处罚</w:t>
            </w:r>
          </w:p>
        </w:tc>
        <w:tc>
          <w:tcPr>
            <w:tcW w:w="3926" w:type="pct"/>
            <w:gridSpan w:val="5"/>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三年内是否曾被停业整顿、降低资质</w:t>
            </w:r>
          </w:p>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r>
      <w:tr>
        <w:tblPrEx>
          <w:tblCellMar>
            <w:top w:w="0" w:type="dxa"/>
            <w:left w:w="108" w:type="dxa"/>
            <w:bottom w:w="0" w:type="dxa"/>
            <w:right w:w="108" w:type="dxa"/>
          </w:tblCellMar>
        </w:tblPrEx>
        <w:trPr>
          <w:trHeight w:val="345" w:hRule="atLeast"/>
        </w:trPr>
        <w:tc>
          <w:tcPr>
            <w:tcW w:w="1074" w:type="pct"/>
            <w:tcBorders>
              <w:top w:val="nil"/>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供应商来源</w:t>
            </w:r>
          </w:p>
        </w:tc>
        <w:tc>
          <w:tcPr>
            <w:tcW w:w="1559" w:type="pct"/>
            <w:gridSpan w:val="2"/>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810"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*推荐人</w:t>
            </w:r>
          </w:p>
        </w:tc>
        <w:tc>
          <w:tcPr>
            <w:tcW w:w="1557" w:type="pct"/>
            <w:gridSpan w:val="2"/>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tblCellMar>
            <w:top w:w="0" w:type="dxa"/>
            <w:left w:w="108" w:type="dxa"/>
            <w:bottom w:w="0" w:type="dxa"/>
            <w:right w:w="108" w:type="dxa"/>
          </w:tblCellMar>
        </w:tblPrEx>
        <w:trPr>
          <w:trHeight w:val="345" w:hRule="atLeast"/>
        </w:trPr>
        <w:tc>
          <w:tcPr>
            <w:tcW w:w="1074" w:type="pct"/>
            <w:vMerge w:val="restart"/>
            <w:tcBorders>
              <w:top w:val="nil"/>
              <w:left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供应商项目团队　</w:t>
            </w:r>
          </w:p>
        </w:tc>
        <w:tc>
          <w:tcPr>
            <w:tcW w:w="894" w:type="pct"/>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姓名</w:t>
            </w:r>
          </w:p>
        </w:tc>
        <w:tc>
          <w:tcPr>
            <w:tcW w:w="665" w:type="pct"/>
            <w:tcBorders>
              <w:top w:val="single" w:color="000000" w:sz="8" w:space="0"/>
              <w:left w:val="nil"/>
              <w:bottom w:val="single" w:color="000000" w:sz="8" w:space="0"/>
              <w:right w:val="single" w:color="000000" w:sz="8" w:space="0"/>
            </w:tcBorders>
            <w:shd w:val="clear" w:color="auto" w:fill="FFFFFF" w:themeFill="background1"/>
            <w:vAlign w:val="center"/>
          </w:tcPr>
          <w:p>
            <w:pPr>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职务</w:t>
            </w:r>
          </w:p>
        </w:tc>
        <w:tc>
          <w:tcPr>
            <w:tcW w:w="810" w:type="pct"/>
            <w:tcBorders>
              <w:top w:val="single" w:color="000000" w:sz="8" w:space="0"/>
              <w:left w:val="nil"/>
              <w:bottom w:val="single" w:color="000000" w:sz="8" w:space="0"/>
              <w:right w:val="single" w:color="000000" w:sz="8" w:space="0"/>
            </w:tcBorders>
            <w:shd w:val="clear" w:color="auto" w:fill="FFFFFF" w:themeFill="background1"/>
            <w:vAlign w:val="center"/>
          </w:tcPr>
          <w:p>
            <w:pPr>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职称</w:t>
            </w:r>
          </w:p>
        </w:tc>
        <w:tc>
          <w:tcPr>
            <w:tcW w:w="779" w:type="pct"/>
            <w:tcBorders>
              <w:top w:val="single" w:color="000000" w:sz="8" w:space="0"/>
              <w:left w:val="nil"/>
              <w:bottom w:val="single" w:color="000000" w:sz="8" w:space="0"/>
              <w:right w:val="single" w:color="000000" w:sz="8" w:space="0"/>
            </w:tcBorders>
            <w:shd w:val="clear" w:color="auto" w:fill="FFFFFF" w:themeFill="background1"/>
            <w:vAlign w:val="center"/>
          </w:tcPr>
          <w:p>
            <w:pPr>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执业资格</w:t>
            </w:r>
          </w:p>
        </w:tc>
        <w:tc>
          <w:tcPr>
            <w:tcW w:w="778" w:type="pct"/>
            <w:tcBorders>
              <w:top w:val="single" w:color="000000" w:sz="8" w:space="0"/>
              <w:left w:val="nil"/>
              <w:bottom w:val="single" w:color="000000" w:sz="8" w:space="0"/>
              <w:right w:val="single" w:color="000000" w:sz="8" w:space="0"/>
            </w:tcBorders>
            <w:shd w:val="clear" w:color="auto" w:fill="FFFFFF" w:themeFill="background1"/>
            <w:vAlign w:val="center"/>
          </w:tcPr>
          <w:p>
            <w:pPr>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是否在履约</w:t>
            </w:r>
          </w:p>
        </w:tc>
      </w:tr>
      <w:tr>
        <w:tblPrEx>
          <w:tblCellMar>
            <w:top w:w="0" w:type="dxa"/>
            <w:left w:w="108" w:type="dxa"/>
            <w:bottom w:w="0" w:type="dxa"/>
            <w:right w:w="108" w:type="dxa"/>
          </w:tblCellMar>
        </w:tblPrEx>
        <w:trPr>
          <w:trHeight w:val="345" w:hRule="atLeast"/>
        </w:trPr>
        <w:tc>
          <w:tcPr>
            <w:tcW w:w="1074" w:type="pct"/>
            <w:vMerge w:val="continue"/>
            <w:tcBorders>
              <w:left w:val="single" w:color="000000" w:sz="8" w:space="0"/>
              <w:right w:val="single" w:color="000000" w:sz="8" w:space="0"/>
            </w:tcBorders>
            <w:shd w:val="clear" w:color="auto" w:fill="FFFFFF" w:themeFill="background1"/>
            <w:vAlign w:val="center"/>
          </w:tcPr>
          <w:p>
            <w:pPr>
              <w:adjustRightInd w:val="0"/>
              <w:snapToGrid w:val="0"/>
              <w:spacing w:line="240" w:lineRule="auto"/>
              <w:ind w:firstLine="420"/>
              <w:rPr>
                <w:rFonts w:ascii="Times New Roman" w:hAnsi="Times New Roman" w:eastAsiaTheme="minorEastAsia"/>
                <w:color w:val="auto"/>
                <w:kern w:val="0"/>
                <w:sz w:val="21"/>
                <w:szCs w:val="21"/>
                <w:highlight w:val="none"/>
              </w:rPr>
            </w:pPr>
          </w:p>
        </w:tc>
        <w:tc>
          <w:tcPr>
            <w:tcW w:w="894"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665" w:type="pct"/>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810" w:type="pct"/>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779" w:type="pct"/>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778" w:type="pct"/>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r>
      <w:tr>
        <w:tblPrEx>
          <w:shd w:val="clear" w:color="auto" w:fill="FFFFFF" w:themeFill="background1"/>
          <w:tblCellMar>
            <w:top w:w="0" w:type="dxa"/>
            <w:left w:w="108" w:type="dxa"/>
            <w:bottom w:w="0" w:type="dxa"/>
            <w:right w:w="108" w:type="dxa"/>
          </w:tblCellMar>
        </w:tblPrEx>
        <w:trPr>
          <w:trHeight w:val="345" w:hRule="atLeast"/>
        </w:trPr>
        <w:tc>
          <w:tcPr>
            <w:tcW w:w="1074" w:type="pct"/>
            <w:vMerge w:val="continue"/>
            <w:tcBorders>
              <w:left w:val="single" w:color="000000" w:sz="8" w:space="0"/>
              <w:right w:val="single" w:color="000000" w:sz="8" w:space="0"/>
            </w:tcBorders>
            <w:shd w:val="clear" w:color="auto" w:fill="FFFFFF" w:themeFill="background1"/>
            <w:vAlign w:val="center"/>
          </w:tcPr>
          <w:p>
            <w:pPr>
              <w:adjustRightInd w:val="0"/>
              <w:snapToGrid w:val="0"/>
              <w:spacing w:line="240" w:lineRule="auto"/>
              <w:ind w:firstLine="420"/>
              <w:rPr>
                <w:rFonts w:ascii="Times New Roman" w:hAnsi="Times New Roman" w:eastAsiaTheme="minorEastAsia"/>
                <w:color w:val="auto"/>
                <w:kern w:val="0"/>
                <w:sz w:val="21"/>
                <w:szCs w:val="21"/>
                <w:highlight w:val="none"/>
              </w:rPr>
            </w:pPr>
          </w:p>
        </w:tc>
        <w:tc>
          <w:tcPr>
            <w:tcW w:w="894"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665" w:type="pct"/>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810" w:type="pct"/>
            <w:tcBorders>
              <w:top w:val="single" w:color="000000" w:sz="8" w:space="0"/>
              <w:left w:val="nil"/>
              <w:bottom w:val="single" w:color="000000" w:sz="8" w:space="0"/>
              <w:right w:val="single" w:color="000000" w:sz="8" w:space="0"/>
            </w:tcBorders>
            <w:shd w:val="clear" w:color="auto" w:fill="FFFFFF" w:themeFill="background1"/>
            <w:vAlign w:val="center"/>
          </w:tcPr>
          <w:p>
            <w:pPr>
              <w:adjustRightInd w:val="0"/>
              <w:snapToGrid w:val="0"/>
              <w:spacing w:line="240" w:lineRule="auto"/>
              <w:ind w:left="4961" w:firstLine="0" w:firstLineChars="0"/>
              <w:rPr>
                <w:rFonts w:ascii="Times New Roman" w:hAnsi="Times New Roman" w:eastAsiaTheme="minorEastAsia"/>
                <w:color w:val="auto"/>
                <w:kern w:val="0"/>
                <w:sz w:val="21"/>
                <w:szCs w:val="21"/>
                <w:highlight w:val="none"/>
              </w:rPr>
            </w:pPr>
          </w:p>
        </w:tc>
        <w:tc>
          <w:tcPr>
            <w:tcW w:w="779" w:type="pct"/>
            <w:tcBorders>
              <w:top w:val="single" w:color="000000" w:sz="8" w:space="0"/>
              <w:left w:val="nil"/>
              <w:bottom w:val="single" w:color="000000" w:sz="8" w:space="0"/>
              <w:right w:val="single" w:color="000000" w:sz="8" w:space="0"/>
            </w:tcBorders>
            <w:shd w:val="clear" w:color="auto" w:fill="FFFFFF" w:themeFill="background1"/>
            <w:vAlign w:val="center"/>
          </w:tcPr>
          <w:p>
            <w:pPr>
              <w:adjustRightInd w:val="0"/>
              <w:snapToGrid w:val="0"/>
              <w:spacing w:line="240" w:lineRule="auto"/>
              <w:ind w:left="4961" w:firstLine="0" w:firstLineChars="0"/>
              <w:rPr>
                <w:rFonts w:ascii="Times New Roman" w:hAnsi="Times New Roman" w:eastAsiaTheme="minorEastAsia"/>
                <w:color w:val="auto"/>
                <w:kern w:val="0"/>
                <w:sz w:val="21"/>
                <w:szCs w:val="21"/>
                <w:highlight w:val="none"/>
              </w:rPr>
            </w:pPr>
          </w:p>
        </w:tc>
        <w:tc>
          <w:tcPr>
            <w:tcW w:w="778" w:type="pct"/>
            <w:tcBorders>
              <w:top w:val="single" w:color="000000" w:sz="8" w:space="0"/>
              <w:left w:val="nil"/>
              <w:bottom w:val="single" w:color="000000" w:sz="8" w:space="0"/>
              <w:right w:val="single" w:color="000000" w:sz="8" w:space="0"/>
            </w:tcBorders>
            <w:shd w:val="clear" w:color="auto" w:fill="FFFFFF" w:themeFill="background1"/>
            <w:vAlign w:val="center"/>
          </w:tcPr>
          <w:p>
            <w:pPr>
              <w:adjustRightInd w:val="0"/>
              <w:snapToGrid w:val="0"/>
              <w:spacing w:line="240" w:lineRule="auto"/>
              <w:ind w:left="4961" w:firstLine="0" w:firstLineChars="0"/>
              <w:rPr>
                <w:rFonts w:ascii="Times New Roman" w:hAnsi="Times New Roman" w:eastAsiaTheme="minorEastAsia"/>
                <w:color w:val="auto"/>
                <w:kern w:val="0"/>
                <w:sz w:val="21"/>
                <w:szCs w:val="21"/>
                <w:highlight w:val="none"/>
              </w:rPr>
            </w:pPr>
          </w:p>
        </w:tc>
      </w:tr>
      <w:tr>
        <w:tblPrEx>
          <w:shd w:val="clear" w:color="auto" w:fill="FFFFFF" w:themeFill="background1"/>
          <w:tblCellMar>
            <w:top w:w="0" w:type="dxa"/>
            <w:left w:w="108" w:type="dxa"/>
            <w:bottom w:w="0" w:type="dxa"/>
            <w:right w:w="108" w:type="dxa"/>
          </w:tblCellMar>
        </w:tblPrEx>
        <w:trPr>
          <w:trHeight w:val="345" w:hRule="atLeast"/>
        </w:trPr>
        <w:tc>
          <w:tcPr>
            <w:tcW w:w="1074" w:type="pct"/>
            <w:vMerge w:val="continue"/>
            <w:tcBorders>
              <w:left w:val="single" w:color="000000" w:sz="8" w:space="0"/>
              <w:right w:val="single" w:color="000000" w:sz="8" w:space="0"/>
            </w:tcBorders>
            <w:shd w:val="clear" w:color="auto" w:fill="FFFFFF" w:themeFill="background1"/>
            <w:vAlign w:val="center"/>
          </w:tcPr>
          <w:p>
            <w:pPr>
              <w:adjustRightInd w:val="0"/>
              <w:snapToGrid w:val="0"/>
              <w:spacing w:line="240" w:lineRule="auto"/>
              <w:ind w:firstLine="420"/>
              <w:rPr>
                <w:rFonts w:ascii="Times New Roman" w:hAnsi="Times New Roman" w:eastAsiaTheme="minorEastAsia"/>
                <w:color w:val="auto"/>
                <w:kern w:val="0"/>
                <w:sz w:val="21"/>
                <w:szCs w:val="21"/>
                <w:highlight w:val="none"/>
              </w:rPr>
            </w:pPr>
          </w:p>
        </w:tc>
        <w:tc>
          <w:tcPr>
            <w:tcW w:w="894"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665" w:type="pct"/>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810" w:type="pct"/>
            <w:tcBorders>
              <w:top w:val="single" w:color="000000" w:sz="8" w:space="0"/>
              <w:left w:val="nil"/>
              <w:bottom w:val="single" w:color="000000" w:sz="8" w:space="0"/>
              <w:right w:val="single" w:color="000000" w:sz="8" w:space="0"/>
            </w:tcBorders>
            <w:shd w:val="clear" w:color="auto" w:fill="FFFFFF" w:themeFill="background1"/>
            <w:vAlign w:val="center"/>
          </w:tcPr>
          <w:p>
            <w:pPr>
              <w:adjustRightInd w:val="0"/>
              <w:snapToGrid w:val="0"/>
              <w:spacing w:line="240" w:lineRule="auto"/>
              <w:ind w:left="4961" w:firstLine="0" w:firstLineChars="0"/>
              <w:rPr>
                <w:rFonts w:ascii="Times New Roman" w:hAnsi="Times New Roman" w:eastAsiaTheme="minorEastAsia"/>
                <w:color w:val="auto"/>
                <w:kern w:val="0"/>
                <w:sz w:val="21"/>
                <w:szCs w:val="21"/>
                <w:highlight w:val="none"/>
              </w:rPr>
            </w:pPr>
          </w:p>
        </w:tc>
        <w:tc>
          <w:tcPr>
            <w:tcW w:w="779" w:type="pct"/>
            <w:tcBorders>
              <w:top w:val="single" w:color="000000" w:sz="8" w:space="0"/>
              <w:left w:val="nil"/>
              <w:bottom w:val="single" w:color="000000" w:sz="8" w:space="0"/>
              <w:right w:val="single" w:color="000000" w:sz="8" w:space="0"/>
            </w:tcBorders>
            <w:shd w:val="clear" w:color="auto" w:fill="FFFFFF" w:themeFill="background1"/>
            <w:vAlign w:val="center"/>
          </w:tcPr>
          <w:p>
            <w:pPr>
              <w:adjustRightInd w:val="0"/>
              <w:snapToGrid w:val="0"/>
              <w:spacing w:line="240" w:lineRule="auto"/>
              <w:ind w:left="4961" w:firstLine="0" w:firstLineChars="0"/>
              <w:rPr>
                <w:rFonts w:ascii="Times New Roman" w:hAnsi="Times New Roman" w:eastAsiaTheme="minorEastAsia"/>
                <w:color w:val="auto"/>
                <w:kern w:val="0"/>
                <w:sz w:val="21"/>
                <w:szCs w:val="21"/>
                <w:highlight w:val="none"/>
              </w:rPr>
            </w:pPr>
          </w:p>
        </w:tc>
        <w:tc>
          <w:tcPr>
            <w:tcW w:w="778" w:type="pct"/>
            <w:tcBorders>
              <w:top w:val="single" w:color="000000" w:sz="8" w:space="0"/>
              <w:left w:val="nil"/>
              <w:bottom w:val="single" w:color="000000" w:sz="8" w:space="0"/>
              <w:right w:val="single" w:color="000000" w:sz="8" w:space="0"/>
            </w:tcBorders>
            <w:shd w:val="clear" w:color="auto" w:fill="FFFFFF" w:themeFill="background1"/>
            <w:vAlign w:val="center"/>
          </w:tcPr>
          <w:p>
            <w:pPr>
              <w:adjustRightInd w:val="0"/>
              <w:snapToGrid w:val="0"/>
              <w:spacing w:line="240" w:lineRule="auto"/>
              <w:ind w:left="4961" w:firstLine="0" w:firstLineChars="0"/>
              <w:rPr>
                <w:rFonts w:ascii="Times New Roman" w:hAnsi="Times New Roman" w:eastAsiaTheme="minorEastAsia"/>
                <w:color w:val="auto"/>
                <w:kern w:val="0"/>
                <w:sz w:val="21"/>
                <w:szCs w:val="21"/>
                <w:highlight w:val="none"/>
              </w:rPr>
            </w:pPr>
          </w:p>
        </w:tc>
      </w:tr>
      <w:tr>
        <w:tblPrEx>
          <w:shd w:val="clear" w:color="auto" w:fill="FFFFFF" w:themeFill="background1"/>
          <w:tblCellMar>
            <w:top w:w="0" w:type="dxa"/>
            <w:left w:w="108" w:type="dxa"/>
            <w:bottom w:w="0" w:type="dxa"/>
            <w:right w:w="108" w:type="dxa"/>
          </w:tblCellMar>
        </w:tblPrEx>
        <w:trPr>
          <w:trHeight w:val="345" w:hRule="atLeast"/>
        </w:trPr>
        <w:tc>
          <w:tcPr>
            <w:tcW w:w="1074" w:type="pct"/>
            <w:vMerge w:val="continue"/>
            <w:tcBorders>
              <w:left w:val="single" w:color="000000" w:sz="8" w:space="0"/>
              <w:right w:val="single" w:color="000000" w:sz="8" w:space="0"/>
            </w:tcBorders>
            <w:shd w:val="clear" w:color="auto" w:fill="FFFFFF" w:themeFill="background1"/>
            <w:vAlign w:val="center"/>
          </w:tcPr>
          <w:p>
            <w:pPr>
              <w:adjustRightInd w:val="0"/>
              <w:snapToGrid w:val="0"/>
              <w:spacing w:line="240" w:lineRule="auto"/>
              <w:ind w:firstLine="420"/>
              <w:rPr>
                <w:rFonts w:ascii="Times New Roman" w:hAnsi="Times New Roman" w:eastAsiaTheme="minorEastAsia"/>
                <w:color w:val="auto"/>
                <w:kern w:val="0"/>
                <w:sz w:val="21"/>
                <w:szCs w:val="21"/>
                <w:highlight w:val="none"/>
              </w:rPr>
            </w:pPr>
          </w:p>
        </w:tc>
        <w:tc>
          <w:tcPr>
            <w:tcW w:w="894"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665" w:type="pct"/>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810" w:type="pct"/>
            <w:tcBorders>
              <w:top w:val="single" w:color="000000" w:sz="8" w:space="0"/>
              <w:left w:val="nil"/>
              <w:bottom w:val="single" w:color="000000" w:sz="8" w:space="0"/>
              <w:right w:val="single" w:color="000000" w:sz="8" w:space="0"/>
            </w:tcBorders>
            <w:shd w:val="clear" w:color="auto" w:fill="FFFFFF" w:themeFill="background1"/>
            <w:vAlign w:val="center"/>
          </w:tcPr>
          <w:p>
            <w:pPr>
              <w:adjustRightInd w:val="0"/>
              <w:snapToGrid w:val="0"/>
              <w:spacing w:line="240" w:lineRule="auto"/>
              <w:ind w:left="4961" w:firstLine="0" w:firstLineChars="0"/>
              <w:rPr>
                <w:rFonts w:ascii="Times New Roman" w:hAnsi="Times New Roman" w:eastAsiaTheme="minorEastAsia"/>
                <w:color w:val="auto"/>
                <w:kern w:val="0"/>
                <w:sz w:val="21"/>
                <w:szCs w:val="21"/>
                <w:highlight w:val="none"/>
              </w:rPr>
            </w:pPr>
          </w:p>
        </w:tc>
        <w:tc>
          <w:tcPr>
            <w:tcW w:w="779" w:type="pct"/>
            <w:tcBorders>
              <w:top w:val="single" w:color="000000" w:sz="8" w:space="0"/>
              <w:left w:val="nil"/>
              <w:bottom w:val="single" w:color="000000" w:sz="8" w:space="0"/>
              <w:right w:val="single" w:color="000000" w:sz="8" w:space="0"/>
            </w:tcBorders>
            <w:shd w:val="clear" w:color="auto" w:fill="FFFFFF" w:themeFill="background1"/>
            <w:vAlign w:val="center"/>
          </w:tcPr>
          <w:p>
            <w:pPr>
              <w:adjustRightInd w:val="0"/>
              <w:snapToGrid w:val="0"/>
              <w:spacing w:line="240" w:lineRule="auto"/>
              <w:ind w:left="4961" w:firstLine="0" w:firstLineChars="0"/>
              <w:rPr>
                <w:rFonts w:ascii="Times New Roman" w:hAnsi="Times New Roman" w:eastAsiaTheme="minorEastAsia"/>
                <w:color w:val="auto"/>
                <w:kern w:val="0"/>
                <w:sz w:val="21"/>
                <w:szCs w:val="21"/>
                <w:highlight w:val="none"/>
              </w:rPr>
            </w:pPr>
          </w:p>
        </w:tc>
        <w:tc>
          <w:tcPr>
            <w:tcW w:w="778" w:type="pct"/>
            <w:tcBorders>
              <w:top w:val="single" w:color="000000" w:sz="8" w:space="0"/>
              <w:left w:val="nil"/>
              <w:bottom w:val="single" w:color="000000" w:sz="8" w:space="0"/>
              <w:right w:val="single" w:color="000000" w:sz="8" w:space="0"/>
            </w:tcBorders>
            <w:shd w:val="clear" w:color="auto" w:fill="FFFFFF" w:themeFill="background1"/>
            <w:vAlign w:val="center"/>
          </w:tcPr>
          <w:p>
            <w:pPr>
              <w:adjustRightInd w:val="0"/>
              <w:snapToGrid w:val="0"/>
              <w:spacing w:line="240" w:lineRule="auto"/>
              <w:ind w:left="4961" w:firstLine="0" w:firstLineChars="0"/>
              <w:rPr>
                <w:rFonts w:ascii="Times New Roman" w:hAnsi="Times New Roman" w:eastAsiaTheme="minorEastAsia"/>
                <w:color w:val="auto"/>
                <w:kern w:val="0"/>
                <w:sz w:val="21"/>
                <w:szCs w:val="21"/>
                <w:highlight w:val="none"/>
              </w:rPr>
            </w:pPr>
          </w:p>
        </w:tc>
      </w:tr>
      <w:tr>
        <w:tblPrEx>
          <w:tblCellMar>
            <w:top w:w="0" w:type="dxa"/>
            <w:left w:w="108" w:type="dxa"/>
            <w:bottom w:w="0" w:type="dxa"/>
            <w:right w:w="108" w:type="dxa"/>
          </w:tblCellMar>
        </w:tblPrEx>
        <w:trPr>
          <w:trHeight w:val="345" w:hRule="atLeast"/>
        </w:trPr>
        <w:tc>
          <w:tcPr>
            <w:tcW w:w="1074" w:type="pct"/>
            <w:vMerge w:val="continue"/>
            <w:tcBorders>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894" w:type="pct"/>
            <w:tcBorders>
              <w:top w:val="nil"/>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665" w:type="pct"/>
            <w:tcBorders>
              <w:top w:val="single" w:color="000000" w:sz="8" w:space="0"/>
              <w:left w:val="nil"/>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810" w:type="pct"/>
            <w:tcBorders>
              <w:top w:val="single" w:color="000000" w:sz="8" w:space="0"/>
              <w:left w:val="nil"/>
              <w:bottom w:val="single" w:color="000000" w:sz="8" w:space="0"/>
              <w:right w:val="single" w:color="000000" w:sz="8" w:space="0"/>
            </w:tcBorders>
            <w:shd w:val="clear" w:color="auto" w:fill="FFFFFF" w:themeFill="background1"/>
            <w:vAlign w:val="center"/>
          </w:tcPr>
          <w:p>
            <w:pPr>
              <w:adjustRightInd w:val="0"/>
              <w:snapToGrid w:val="0"/>
              <w:spacing w:line="240" w:lineRule="auto"/>
              <w:ind w:left="4961" w:firstLine="0" w:firstLineChars="0"/>
              <w:rPr>
                <w:rFonts w:ascii="Times New Roman" w:hAnsi="Times New Roman" w:eastAsiaTheme="minorEastAsia"/>
                <w:color w:val="auto"/>
                <w:kern w:val="0"/>
                <w:sz w:val="21"/>
                <w:szCs w:val="21"/>
                <w:highlight w:val="none"/>
              </w:rPr>
            </w:pPr>
          </w:p>
        </w:tc>
        <w:tc>
          <w:tcPr>
            <w:tcW w:w="779" w:type="pct"/>
            <w:tcBorders>
              <w:top w:val="single" w:color="000000" w:sz="8" w:space="0"/>
              <w:left w:val="nil"/>
              <w:bottom w:val="single" w:color="000000" w:sz="8" w:space="0"/>
              <w:right w:val="single" w:color="000000" w:sz="8" w:space="0"/>
            </w:tcBorders>
            <w:shd w:val="clear" w:color="auto" w:fill="FFFFFF" w:themeFill="background1"/>
            <w:vAlign w:val="center"/>
          </w:tcPr>
          <w:p>
            <w:pPr>
              <w:adjustRightInd w:val="0"/>
              <w:snapToGrid w:val="0"/>
              <w:spacing w:line="240" w:lineRule="auto"/>
              <w:ind w:left="4961" w:firstLine="0" w:firstLineChars="0"/>
              <w:rPr>
                <w:rFonts w:ascii="Times New Roman" w:hAnsi="Times New Roman" w:eastAsiaTheme="minorEastAsia"/>
                <w:color w:val="auto"/>
                <w:kern w:val="0"/>
                <w:sz w:val="21"/>
                <w:szCs w:val="21"/>
                <w:highlight w:val="none"/>
              </w:rPr>
            </w:pPr>
          </w:p>
        </w:tc>
        <w:tc>
          <w:tcPr>
            <w:tcW w:w="778" w:type="pct"/>
            <w:tcBorders>
              <w:top w:val="single" w:color="000000" w:sz="8" w:space="0"/>
              <w:left w:val="nil"/>
              <w:bottom w:val="single" w:color="000000" w:sz="8" w:space="0"/>
              <w:right w:val="single" w:color="000000" w:sz="8" w:space="0"/>
            </w:tcBorders>
            <w:shd w:val="clear" w:color="auto" w:fill="FFFFFF" w:themeFill="background1"/>
            <w:vAlign w:val="center"/>
          </w:tcPr>
          <w:p>
            <w:pPr>
              <w:adjustRightInd w:val="0"/>
              <w:snapToGrid w:val="0"/>
              <w:spacing w:line="240" w:lineRule="auto"/>
              <w:ind w:left="4961" w:firstLine="0" w:firstLineChars="0"/>
              <w:rPr>
                <w:rFonts w:ascii="Times New Roman" w:hAnsi="Times New Roman" w:eastAsiaTheme="minorEastAsia"/>
                <w:color w:val="auto"/>
                <w:kern w:val="0"/>
                <w:sz w:val="21"/>
                <w:szCs w:val="21"/>
                <w:highlight w:val="none"/>
              </w:rPr>
            </w:pPr>
          </w:p>
        </w:tc>
      </w:tr>
      <w:tr>
        <w:tblPrEx>
          <w:shd w:val="clear" w:color="auto" w:fill="FFFFFF" w:themeFill="background1"/>
          <w:tblCellMar>
            <w:top w:w="0" w:type="dxa"/>
            <w:left w:w="108" w:type="dxa"/>
            <w:bottom w:w="0" w:type="dxa"/>
            <w:right w:w="108" w:type="dxa"/>
          </w:tblCellMar>
        </w:tblPrEx>
        <w:trPr>
          <w:trHeight w:val="345" w:hRule="atLeast"/>
        </w:trPr>
        <w:tc>
          <w:tcPr>
            <w:tcW w:w="1074" w:type="pct"/>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其他</w:t>
            </w:r>
          </w:p>
        </w:tc>
        <w:tc>
          <w:tcPr>
            <w:tcW w:w="3926" w:type="pct"/>
            <w:gridSpan w:val="5"/>
            <w:tcBorders>
              <w:top w:val="single" w:color="000000" w:sz="8" w:space="0"/>
              <w:left w:val="nil"/>
              <w:bottom w:val="single" w:color="000000" w:sz="8" w:space="0"/>
              <w:right w:val="single" w:color="000000" w:sz="8" w:space="0"/>
            </w:tcBorders>
            <w:shd w:val="clear" w:color="auto" w:fill="FFFFFF" w:themeFill="background1"/>
            <w:vAlign w:val="center"/>
          </w:tcPr>
          <w:p>
            <w:pPr>
              <w:adjustRightInd w:val="0"/>
              <w:snapToGrid w:val="0"/>
              <w:spacing w:line="240" w:lineRule="auto"/>
              <w:ind w:left="4961" w:firstLine="0" w:firstLineChars="0"/>
              <w:rPr>
                <w:rFonts w:ascii="Times New Roman" w:hAnsi="Times New Roman" w:eastAsiaTheme="minorEastAsia"/>
                <w:color w:val="auto"/>
                <w:kern w:val="0"/>
                <w:sz w:val="21"/>
                <w:szCs w:val="21"/>
                <w:highlight w:val="none"/>
              </w:rPr>
            </w:pPr>
          </w:p>
        </w:tc>
      </w:tr>
      <w:tr>
        <w:tblPrEx>
          <w:shd w:val="clear" w:color="auto" w:fill="FFFFFF" w:themeFill="background1"/>
          <w:tblCellMar>
            <w:top w:w="0" w:type="dxa"/>
            <w:left w:w="108" w:type="dxa"/>
            <w:bottom w:w="0" w:type="dxa"/>
            <w:right w:w="108" w:type="dxa"/>
          </w:tblCellMar>
        </w:tblPrEx>
        <w:trPr>
          <w:trHeight w:val="345" w:hRule="atLeast"/>
        </w:trPr>
        <w:tc>
          <w:tcPr>
            <w:tcW w:w="1074" w:type="pct"/>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信息登记</w:t>
            </w:r>
          </w:p>
        </w:tc>
        <w:tc>
          <w:tcPr>
            <w:tcW w:w="3926" w:type="pct"/>
            <w:gridSpan w:val="5"/>
            <w:tcBorders>
              <w:top w:val="single" w:color="000000" w:sz="8" w:space="0"/>
              <w:left w:val="nil"/>
              <w:bottom w:val="single" w:color="000000" w:sz="8" w:space="0"/>
              <w:right w:val="single" w:color="000000" w:sz="8" w:space="0"/>
            </w:tcBorders>
            <w:shd w:val="clear" w:color="auto" w:fill="FFFFFF" w:themeFill="background1"/>
            <w:vAlign w:val="center"/>
          </w:tcPr>
          <w:p>
            <w:pPr>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登记日期：                           登记人（签字）：</w:t>
            </w:r>
          </w:p>
        </w:tc>
      </w:tr>
    </w:tbl>
    <w:p>
      <w:pPr>
        <w:spacing w:line="240" w:lineRule="auto"/>
        <w:ind w:firstLine="0" w:firstLineChars="0"/>
        <w:rPr>
          <w:rFonts w:ascii="Times New Roman" w:hAnsi="Times New Roman"/>
          <w:color w:val="auto"/>
          <w:highlight w:val="none"/>
        </w:rPr>
      </w:pPr>
      <w:r>
        <w:rPr>
          <w:rFonts w:ascii="Times New Roman" w:hAnsi="Times New Roman"/>
          <w:color w:val="auto"/>
          <w:highlight w:val="none"/>
        </w:rPr>
        <w:t>附件3</w:t>
      </w:r>
    </w:p>
    <w:p>
      <w:pPr>
        <w:ind w:firstLine="0" w:firstLineChars="0"/>
        <w:jc w:val="center"/>
        <w:rPr>
          <w:rFonts w:ascii="Times New Roman" w:hAnsi="Times New Roman"/>
          <w:b/>
          <w:color w:val="auto"/>
          <w:sz w:val="28"/>
          <w:szCs w:val="28"/>
          <w:highlight w:val="none"/>
        </w:rPr>
      </w:pPr>
      <w:r>
        <w:rPr>
          <w:rFonts w:ascii="Times New Roman" w:hAnsi="Times New Roman"/>
          <w:b/>
          <w:color w:val="auto"/>
          <w:sz w:val="28"/>
          <w:szCs w:val="28"/>
          <w:highlight w:val="none"/>
        </w:rPr>
        <w:t>施工承包类、劳务分包类供应商</w:t>
      </w:r>
      <w:r>
        <w:rPr>
          <w:rFonts w:ascii="Times New Roman" w:hAnsi="Times New Roman"/>
          <w:b/>
          <w:color w:val="auto"/>
          <w:sz w:val="28"/>
          <w:szCs w:val="28"/>
          <w:highlight w:val="none"/>
          <w:u w:val="single"/>
        </w:rPr>
        <w:t xml:space="preserve">     </w:t>
      </w:r>
      <w:r>
        <w:rPr>
          <w:rFonts w:ascii="Times New Roman" w:hAnsi="Times New Roman"/>
          <w:b/>
          <w:color w:val="auto"/>
          <w:sz w:val="28"/>
          <w:szCs w:val="28"/>
          <w:highlight w:val="none"/>
        </w:rPr>
        <w:t>年度履约考核表</w:t>
      </w:r>
    </w:p>
    <w:p>
      <w:pPr>
        <w:ind w:firstLine="0" w:firstLineChars="0"/>
        <w:rPr>
          <w:rFonts w:ascii="Times New Roman" w:hAnsi="Times New Roman"/>
          <w:color w:val="auto"/>
          <w:sz w:val="21"/>
          <w:highlight w:val="none"/>
          <w:u w:val="single"/>
        </w:rPr>
      </w:pPr>
      <w:r>
        <w:rPr>
          <w:rFonts w:ascii="Times New Roman" w:hAnsi="Times New Roman"/>
          <w:color w:val="auto"/>
          <w:sz w:val="21"/>
          <w:highlight w:val="none"/>
        </w:rPr>
        <w:t>专业分类：</w:t>
      </w:r>
      <w:r>
        <w:rPr>
          <w:rFonts w:ascii="Times New Roman" w:hAnsi="Times New Roman"/>
          <w:color w:val="auto"/>
          <w:sz w:val="21"/>
          <w:highlight w:val="none"/>
          <w:u w:val="single"/>
        </w:rPr>
        <w:t xml:space="preserve">                         </w:t>
      </w:r>
      <w:r>
        <w:rPr>
          <w:rFonts w:ascii="Times New Roman" w:hAnsi="Times New Roman"/>
          <w:color w:val="auto"/>
          <w:sz w:val="21"/>
          <w:highlight w:val="none"/>
        </w:rPr>
        <w:t xml:space="preserve">  供应商名称：</w:t>
      </w:r>
      <w:r>
        <w:rPr>
          <w:rFonts w:ascii="Times New Roman" w:hAnsi="Times New Roman"/>
          <w:color w:val="auto"/>
          <w:sz w:val="21"/>
          <w:highlight w:val="none"/>
          <w:u w:val="single"/>
        </w:rPr>
        <w:t xml:space="preserve">                         </w:t>
      </w:r>
      <w:r>
        <w:rPr>
          <w:rFonts w:ascii="Times New Roman" w:hAnsi="Times New Roman"/>
          <w:color w:val="auto"/>
          <w:sz w:val="21"/>
          <w:highlight w:val="none"/>
        </w:rPr>
        <w:t xml:space="preserve">         </w:t>
      </w:r>
    </w:p>
    <w:tbl>
      <w:tblPr>
        <w:tblStyle w:val="13"/>
        <w:tblW w:w="5000" w:type="pct"/>
        <w:tblInd w:w="0" w:type="dxa"/>
        <w:tblLayout w:type="autofit"/>
        <w:tblCellMar>
          <w:top w:w="0" w:type="dxa"/>
          <w:left w:w="108" w:type="dxa"/>
          <w:bottom w:w="0" w:type="dxa"/>
          <w:right w:w="108" w:type="dxa"/>
        </w:tblCellMar>
      </w:tblPr>
      <w:tblGrid>
        <w:gridCol w:w="636"/>
        <w:gridCol w:w="1327"/>
        <w:gridCol w:w="2220"/>
        <w:gridCol w:w="1299"/>
        <w:gridCol w:w="1056"/>
        <w:gridCol w:w="1056"/>
        <w:gridCol w:w="1056"/>
        <w:gridCol w:w="636"/>
      </w:tblGrid>
      <w:tr>
        <w:tblPrEx>
          <w:tblCellMar>
            <w:top w:w="0" w:type="dxa"/>
            <w:left w:w="108" w:type="dxa"/>
            <w:bottom w:w="0" w:type="dxa"/>
            <w:right w:w="108" w:type="dxa"/>
          </w:tblCellMar>
        </w:tblPrEx>
        <w:trPr>
          <w:trHeight w:val="555" w:hRule="atLeast"/>
        </w:trPr>
        <w:tc>
          <w:tcPr>
            <w:tcW w:w="400" w:type="pct"/>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序号</w:t>
            </w:r>
          </w:p>
        </w:tc>
        <w:tc>
          <w:tcPr>
            <w:tcW w:w="874"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评价方面</w:t>
            </w:r>
          </w:p>
        </w:tc>
        <w:tc>
          <w:tcPr>
            <w:tcW w:w="1311"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评价内容</w:t>
            </w:r>
          </w:p>
        </w:tc>
        <w:tc>
          <w:tcPr>
            <w:tcW w:w="815" w:type="pct"/>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分值</w:t>
            </w:r>
          </w:p>
        </w:tc>
        <w:tc>
          <w:tcPr>
            <w:tcW w:w="1200" w:type="pct"/>
            <w:gridSpan w:val="3"/>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考核评分</w:t>
            </w:r>
          </w:p>
        </w:tc>
        <w:tc>
          <w:tcPr>
            <w:tcW w:w="400"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备注</w:t>
            </w:r>
          </w:p>
        </w:tc>
      </w:tr>
      <w:tr>
        <w:tblPrEx>
          <w:tblCellMar>
            <w:top w:w="0" w:type="dxa"/>
            <w:left w:w="108" w:type="dxa"/>
            <w:bottom w:w="0" w:type="dxa"/>
            <w:right w:w="108" w:type="dxa"/>
          </w:tblCellMar>
        </w:tblPrEx>
        <w:trPr>
          <w:trHeight w:val="465" w:hRule="atLeast"/>
        </w:trPr>
        <w:tc>
          <w:tcPr>
            <w:tcW w:w="40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8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31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81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需求部门</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工管中心</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加权得分</w:t>
            </w:r>
          </w:p>
        </w:tc>
        <w:tc>
          <w:tcPr>
            <w:tcW w:w="400" w:type="pct"/>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w:t>
            </w:r>
          </w:p>
        </w:tc>
        <w:tc>
          <w:tcPr>
            <w:tcW w:w="874" w:type="pct"/>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招采配合（10分）</w:t>
            </w: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积极参与招标采购活动，配合招标人开展回标、谈判与合同签订工作</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4</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2</w:t>
            </w:r>
          </w:p>
        </w:tc>
        <w:tc>
          <w:tcPr>
            <w:tcW w:w="8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报价合理，无围标串标现象，无行贿受贿现象，无不良投标情况</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4</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3</w:t>
            </w:r>
          </w:p>
        </w:tc>
        <w:tc>
          <w:tcPr>
            <w:tcW w:w="8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按时提交履约保证金，提交金额与合同一致</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2</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4</w:t>
            </w:r>
          </w:p>
        </w:tc>
        <w:tc>
          <w:tcPr>
            <w:tcW w:w="874" w:type="pct"/>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工程管理（30分）</w:t>
            </w: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项目经理及主要管理人员到位，并积极组织落实劳动力班组</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5</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825"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5</w:t>
            </w:r>
          </w:p>
        </w:tc>
        <w:tc>
          <w:tcPr>
            <w:tcW w:w="8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配合情况：配合甲方管理模式（如日式管理、精细化管理等）；对甲方、监理的指令积极响应，并按要求完成</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5</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6</w:t>
            </w:r>
          </w:p>
        </w:tc>
        <w:tc>
          <w:tcPr>
            <w:tcW w:w="8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对分包单位及甲供材料的管理与配合</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5</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7</w:t>
            </w:r>
          </w:p>
        </w:tc>
        <w:tc>
          <w:tcPr>
            <w:tcW w:w="8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项目支持力度：项目建设资金投入符合工程阶段性要求，无拖欠农民工工资现象</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5</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8</w:t>
            </w:r>
          </w:p>
        </w:tc>
        <w:tc>
          <w:tcPr>
            <w:tcW w:w="8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积极执行甲方指令，工程变更及整改及时</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5</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9</w:t>
            </w:r>
          </w:p>
        </w:tc>
        <w:tc>
          <w:tcPr>
            <w:tcW w:w="8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资料管理：资料齐全，符合精细化管理要求</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5</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10</w:t>
            </w:r>
          </w:p>
        </w:tc>
        <w:tc>
          <w:tcPr>
            <w:tcW w:w="874" w:type="pct"/>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质量控制（20分）</w:t>
            </w: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监督和配合甲方对工程质量进行全过程、全覆盖的实测工作，对实测实量排名</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5</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11</w:t>
            </w:r>
          </w:p>
        </w:tc>
        <w:tc>
          <w:tcPr>
            <w:tcW w:w="8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过程控制、质量验收、交竣工验收</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5</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12</w:t>
            </w:r>
          </w:p>
        </w:tc>
        <w:tc>
          <w:tcPr>
            <w:tcW w:w="8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质量目标达成率</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10</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13</w:t>
            </w:r>
          </w:p>
        </w:tc>
        <w:tc>
          <w:tcPr>
            <w:tcW w:w="874" w:type="pct"/>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进度控制（15分）</w:t>
            </w: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工程实际进度与计划进度相吻合</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10</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14</w:t>
            </w:r>
          </w:p>
        </w:tc>
        <w:tc>
          <w:tcPr>
            <w:tcW w:w="8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能根据甲方要求，在保证质量前提下加快进度；上月滞后进度追赶措施适当、有效</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5</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15</w:t>
            </w:r>
          </w:p>
        </w:tc>
        <w:tc>
          <w:tcPr>
            <w:tcW w:w="874" w:type="pct"/>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安全文明及</w:t>
            </w:r>
            <w:r>
              <w:rPr>
                <w:rFonts w:ascii="Times New Roman" w:hAnsi="Times New Roman"/>
                <w:color w:val="auto"/>
                <w:kern w:val="0"/>
                <w:sz w:val="21"/>
                <w:szCs w:val="21"/>
                <w:highlight w:val="none"/>
              </w:rPr>
              <w:br w:type="textWrapping"/>
            </w:r>
            <w:r>
              <w:rPr>
                <w:rFonts w:ascii="Times New Roman" w:hAnsi="Times New Roman"/>
                <w:color w:val="auto"/>
                <w:kern w:val="0"/>
                <w:sz w:val="21"/>
                <w:szCs w:val="21"/>
                <w:highlight w:val="none"/>
              </w:rPr>
              <w:t>成品保护</w:t>
            </w:r>
            <w:r>
              <w:rPr>
                <w:rFonts w:ascii="Times New Roman" w:hAnsi="Times New Roman"/>
                <w:color w:val="auto"/>
                <w:kern w:val="0"/>
                <w:sz w:val="21"/>
                <w:szCs w:val="21"/>
                <w:highlight w:val="none"/>
              </w:rPr>
              <w:br w:type="textWrapping"/>
            </w:r>
            <w:r>
              <w:rPr>
                <w:rFonts w:ascii="Times New Roman" w:hAnsi="Times New Roman"/>
                <w:color w:val="auto"/>
                <w:kern w:val="0"/>
                <w:sz w:val="21"/>
                <w:szCs w:val="21"/>
                <w:highlight w:val="none"/>
              </w:rPr>
              <w:t>（10分）</w:t>
            </w: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安全文明管理符合合同要求</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4</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16</w:t>
            </w:r>
          </w:p>
        </w:tc>
        <w:tc>
          <w:tcPr>
            <w:tcW w:w="8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成品保护</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2</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17</w:t>
            </w:r>
          </w:p>
        </w:tc>
        <w:tc>
          <w:tcPr>
            <w:tcW w:w="8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安全工作方面</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4</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810"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18</w:t>
            </w:r>
          </w:p>
        </w:tc>
        <w:tc>
          <w:tcPr>
            <w:tcW w:w="874" w:type="pct"/>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成本控制</w:t>
            </w:r>
            <w:r>
              <w:rPr>
                <w:rFonts w:ascii="Times New Roman" w:hAnsi="Times New Roman"/>
                <w:color w:val="auto"/>
                <w:kern w:val="0"/>
                <w:sz w:val="21"/>
                <w:szCs w:val="21"/>
                <w:highlight w:val="none"/>
              </w:rPr>
              <w:br w:type="textWrapping"/>
            </w:r>
            <w:r>
              <w:rPr>
                <w:rFonts w:ascii="Times New Roman" w:hAnsi="Times New Roman"/>
                <w:color w:val="auto"/>
                <w:kern w:val="0"/>
                <w:sz w:val="21"/>
                <w:szCs w:val="21"/>
                <w:highlight w:val="none"/>
              </w:rPr>
              <w:t>（10）</w:t>
            </w: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根据施工合同有关费用的条款，提交每月完成的工程量和应付工程款金额，并交甲方审定</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4</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19</w:t>
            </w:r>
          </w:p>
        </w:tc>
        <w:tc>
          <w:tcPr>
            <w:tcW w:w="8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遵守联系单上报及签复要求</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2</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20</w:t>
            </w:r>
          </w:p>
        </w:tc>
        <w:tc>
          <w:tcPr>
            <w:tcW w:w="8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配合甲方进行相关材料的核价工作，积极开展预算、结算的核对工作</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4</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21</w:t>
            </w:r>
          </w:p>
        </w:tc>
        <w:tc>
          <w:tcPr>
            <w:tcW w:w="874" w:type="pct"/>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维保服务（5分）</w:t>
            </w: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响应及时、不推卸责任</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3</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22</w:t>
            </w:r>
          </w:p>
        </w:tc>
        <w:tc>
          <w:tcPr>
            <w:tcW w:w="8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31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维修质量</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2</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2585" w:type="pct"/>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评分合计</w:t>
            </w:r>
          </w:p>
        </w:tc>
        <w:tc>
          <w:tcPr>
            <w:tcW w:w="815"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100</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bl>
    <w:p>
      <w:pPr>
        <w:ind w:firstLine="0" w:firstLineChars="0"/>
        <w:rPr>
          <w:rFonts w:ascii="Times New Roman" w:hAnsi="Times New Roman"/>
          <w:color w:val="auto"/>
          <w:highlight w:val="none"/>
        </w:rPr>
      </w:pPr>
    </w:p>
    <w:p>
      <w:pPr>
        <w:ind w:firstLine="0" w:firstLineChars="0"/>
        <w:rPr>
          <w:rFonts w:ascii="Times New Roman" w:hAnsi="Times New Roman"/>
          <w:color w:val="auto"/>
          <w:highlight w:val="none"/>
        </w:rPr>
      </w:pPr>
    </w:p>
    <w:p>
      <w:pPr>
        <w:ind w:firstLine="0" w:firstLineChars="0"/>
        <w:rPr>
          <w:rFonts w:ascii="Times New Roman" w:hAnsi="Times New Roman"/>
          <w:color w:val="auto"/>
          <w:highlight w:val="none"/>
        </w:rPr>
      </w:pPr>
    </w:p>
    <w:p>
      <w:pPr>
        <w:ind w:firstLine="0" w:firstLineChars="0"/>
        <w:rPr>
          <w:rFonts w:ascii="Times New Roman" w:hAnsi="Times New Roman"/>
          <w:color w:val="auto"/>
          <w:highlight w:val="none"/>
        </w:rPr>
      </w:pPr>
    </w:p>
    <w:p>
      <w:pPr>
        <w:ind w:firstLine="0" w:firstLineChars="0"/>
        <w:rPr>
          <w:rFonts w:ascii="Times New Roman" w:hAnsi="Times New Roman"/>
          <w:color w:val="auto"/>
          <w:highlight w:val="none"/>
        </w:rPr>
      </w:pPr>
    </w:p>
    <w:p>
      <w:pPr>
        <w:ind w:firstLine="0" w:firstLineChars="0"/>
        <w:rPr>
          <w:rFonts w:ascii="Times New Roman" w:hAnsi="Times New Roman"/>
          <w:color w:val="auto"/>
          <w:highlight w:val="none"/>
        </w:rPr>
      </w:pPr>
    </w:p>
    <w:p>
      <w:pPr>
        <w:ind w:firstLine="0" w:firstLineChars="0"/>
        <w:rPr>
          <w:rFonts w:ascii="Times New Roman" w:hAnsi="Times New Roman"/>
          <w:color w:val="auto"/>
          <w:highlight w:val="none"/>
        </w:rPr>
      </w:pPr>
    </w:p>
    <w:p>
      <w:pPr>
        <w:ind w:firstLine="0" w:firstLineChars="0"/>
        <w:rPr>
          <w:rFonts w:ascii="Times New Roman" w:hAnsi="Times New Roman"/>
          <w:color w:val="auto"/>
          <w:highlight w:val="none"/>
        </w:rPr>
      </w:pPr>
    </w:p>
    <w:p>
      <w:pPr>
        <w:ind w:firstLine="0" w:firstLineChars="0"/>
        <w:rPr>
          <w:rFonts w:ascii="Times New Roman" w:hAnsi="Times New Roman"/>
          <w:color w:val="auto"/>
          <w:highlight w:val="none"/>
        </w:rPr>
      </w:pPr>
    </w:p>
    <w:p>
      <w:pPr>
        <w:ind w:firstLine="0" w:firstLineChars="0"/>
        <w:rPr>
          <w:rFonts w:ascii="Times New Roman" w:hAnsi="Times New Roman"/>
          <w:color w:val="auto"/>
          <w:highlight w:val="none"/>
        </w:rPr>
      </w:pPr>
    </w:p>
    <w:p>
      <w:pPr>
        <w:ind w:firstLine="0" w:firstLineChars="0"/>
        <w:rPr>
          <w:rFonts w:ascii="Times New Roman" w:hAnsi="Times New Roman"/>
          <w:color w:val="auto"/>
          <w:highlight w:val="none"/>
        </w:rPr>
      </w:pPr>
    </w:p>
    <w:p>
      <w:pPr>
        <w:ind w:firstLine="0" w:firstLineChars="0"/>
        <w:jc w:val="center"/>
        <w:rPr>
          <w:rFonts w:ascii="Times New Roman" w:hAnsi="Times New Roman"/>
          <w:b/>
          <w:color w:val="auto"/>
          <w:sz w:val="28"/>
          <w:szCs w:val="28"/>
          <w:highlight w:val="none"/>
        </w:rPr>
      </w:pPr>
      <w:r>
        <w:rPr>
          <w:rFonts w:hint="eastAsia" w:ascii="Times New Roman" w:hAnsi="Times New Roman"/>
          <w:b/>
          <w:color w:val="auto"/>
          <w:sz w:val="28"/>
          <w:szCs w:val="28"/>
          <w:highlight w:val="none"/>
        </w:rPr>
        <w:t>材料</w:t>
      </w:r>
      <w:r>
        <w:rPr>
          <w:rFonts w:ascii="Times New Roman" w:hAnsi="Times New Roman"/>
          <w:b/>
          <w:color w:val="auto"/>
          <w:sz w:val="28"/>
          <w:szCs w:val="28"/>
          <w:highlight w:val="none"/>
        </w:rPr>
        <w:t>设备类供应商</w:t>
      </w:r>
      <w:r>
        <w:rPr>
          <w:rFonts w:ascii="Times New Roman" w:hAnsi="Times New Roman"/>
          <w:b/>
          <w:color w:val="auto"/>
          <w:sz w:val="28"/>
          <w:szCs w:val="28"/>
          <w:highlight w:val="none"/>
          <w:u w:val="single"/>
        </w:rPr>
        <w:t xml:space="preserve">     </w:t>
      </w:r>
      <w:r>
        <w:rPr>
          <w:rFonts w:ascii="Times New Roman" w:hAnsi="Times New Roman"/>
          <w:b/>
          <w:color w:val="auto"/>
          <w:sz w:val="28"/>
          <w:szCs w:val="28"/>
          <w:highlight w:val="none"/>
        </w:rPr>
        <w:t>年度履约考核表</w:t>
      </w:r>
    </w:p>
    <w:p>
      <w:pPr>
        <w:ind w:firstLine="0" w:firstLineChars="0"/>
        <w:rPr>
          <w:rFonts w:hint="eastAsia" w:ascii="Times New Roman" w:hAnsi="Times New Roman"/>
          <w:color w:val="auto"/>
          <w:highlight w:val="none"/>
        </w:rPr>
      </w:pPr>
      <w:r>
        <w:rPr>
          <w:rFonts w:ascii="Times New Roman" w:hAnsi="Times New Roman"/>
          <w:color w:val="auto"/>
          <w:sz w:val="21"/>
          <w:highlight w:val="none"/>
        </w:rPr>
        <w:t>专业分类：</w:t>
      </w:r>
      <w:r>
        <w:rPr>
          <w:rFonts w:ascii="Times New Roman" w:hAnsi="Times New Roman"/>
          <w:color w:val="auto"/>
          <w:sz w:val="21"/>
          <w:highlight w:val="none"/>
          <w:u w:val="single"/>
        </w:rPr>
        <w:t xml:space="preserve">                         </w:t>
      </w:r>
      <w:r>
        <w:rPr>
          <w:rFonts w:ascii="Times New Roman" w:hAnsi="Times New Roman"/>
          <w:color w:val="auto"/>
          <w:sz w:val="21"/>
          <w:highlight w:val="none"/>
        </w:rPr>
        <w:t xml:space="preserve">  供应商名称：</w:t>
      </w:r>
      <w:r>
        <w:rPr>
          <w:rFonts w:ascii="Times New Roman" w:hAnsi="Times New Roman"/>
          <w:color w:val="auto"/>
          <w:sz w:val="21"/>
          <w:highlight w:val="none"/>
          <w:u w:val="single"/>
        </w:rPr>
        <w:t xml:space="preserve">                         </w:t>
      </w:r>
      <w:r>
        <w:rPr>
          <w:rFonts w:ascii="Times New Roman" w:hAnsi="Times New Roman"/>
          <w:color w:val="auto"/>
          <w:sz w:val="21"/>
          <w:highlight w:val="none"/>
        </w:rPr>
        <w:t xml:space="preserve">  </w:t>
      </w:r>
    </w:p>
    <w:tbl>
      <w:tblPr>
        <w:tblStyle w:val="13"/>
        <w:tblW w:w="5000" w:type="pct"/>
        <w:tblInd w:w="0" w:type="dxa"/>
        <w:tblLayout w:type="autofit"/>
        <w:tblCellMar>
          <w:top w:w="0" w:type="dxa"/>
          <w:left w:w="108" w:type="dxa"/>
          <w:bottom w:w="0" w:type="dxa"/>
          <w:right w:w="108" w:type="dxa"/>
        </w:tblCellMar>
      </w:tblPr>
      <w:tblGrid>
        <w:gridCol w:w="636"/>
        <w:gridCol w:w="1264"/>
        <w:gridCol w:w="2900"/>
        <w:gridCol w:w="636"/>
        <w:gridCol w:w="1056"/>
        <w:gridCol w:w="1056"/>
        <w:gridCol w:w="1056"/>
        <w:gridCol w:w="682"/>
      </w:tblGrid>
      <w:tr>
        <w:tblPrEx>
          <w:tblCellMar>
            <w:top w:w="0" w:type="dxa"/>
            <w:left w:w="108" w:type="dxa"/>
            <w:bottom w:w="0" w:type="dxa"/>
            <w:right w:w="108" w:type="dxa"/>
          </w:tblCellMar>
        </w:tblPrEx>
        <w:trPr>
          <w:trHeight w:val="330" w:hRule="atLeast"/>
        </w:trPr>
        <w:tc>
          <w:tcPr>
            <w:tcW w:w="361"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序号</w:t>
            </w:r>
          </w:p>
        </w:tc>
        <w:tc>
          <w:tcPr>
            <w:tcW w:w="723"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hint="eastAsia" w:ascii="Times New Roman" w:hAnsi="Times New Roman"/>
                <w:color w:val="auto"/>
                <w:kern w:val="0"/>
                <w:sz w:val="21"/>
                <w:szCs w:val="21"/>
                <w:highlight w:val="none"/>
              </w:rPr>
            </w:pPr>
            <w:r>
              <w:rPr>
                <w:rFonts w:ascii="Times New Roman" w:hAnsi="Times New Roman"/>
                <w:color w:val="auto"/>
                <w:kern w:val="0"/>
                <w:sz w:val="21"/>
                <w:szCs w:val="21"/>
                <w:highlight w:val="none"/>
              </w:rPr>
              <w:t>评价</w:t>
            </w:r>
          </w:p>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方面</w:t>
            </w:r>
          </w:p>
        </w:tc>
        <w:tc>
          <w:tcPr>
            <w:tcW w:w="1592"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评价内容</w:t>
            </w:r>
          </w:p>
        </w:tc>
        <w:tc>
          <w:tcPr>
            <w:tcW w:w="371" w:type="pct"/>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满分</w:t>
            </w:r>
          </w:p>
        </w:tc>
        <w:tc>
          <w:tcPr>
            <w:tcW w:w="1553" w:type="pct"/>
            <w:gridSpan w:val="3"/>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考核评分</w:t>
            </w:r>
          </w:p>
        </w:tc>
        <w:tc>
          <w:tcPr>
            <w:tcW w:w="400"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备注</w:t>
            </w:r>
          </w:p>
        </w:tc>
      </w:tr>
      <w:tr>
        <w:tblPrEx>
          <w:tblCellMar>
            <w:top w:w="0" w:type="dxa"/>
            <w:left w:w="108" w:type="dxa"/>
            <w:bottom w:w="0" w:type="dxa"/>
            <w:right w:w="108" w:type="dxa"/>
          </w:tblCellMar>
        </w:tblPrEx>
        <w:trPr>
          <w:trHeight w:val="330" w:hRule="atLeast"/>
        </w:trPr>
        <w:tc>
          <w:tcPr>
            <w:tcW w:w="361" w:type="pct"/>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72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592"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37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518"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需求部门</w:t>
            </w:r>
          </w:p>
        </w:tc>
        <w:tc>
          <w:tcPr>
            <w:tcW w:w="518"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工管中心</w:t>
            </w:r>
          </w:p>
        </w:tc>
        <w:tc>
          <w:tcPr>
            <w:tcW w:w="518"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加权得分</w:t>
            </w:r>
          </w:p>
        </w:tc>
        <w:tc>
          <w:tcPr>
            <w:tcW w:w="400" w:type="pct"/>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r>
      <w:tr>
        <w:tblPrEx>
          <w:tblCellMar>
            <w:top w:w="0" w:type="dxa"/>
            <w:left w:w="108" w:type="dxa"/>
            <w:bottom w:w="0" w:type="dxa"/>
            <w:right w:w="108" w:type="dxa"/>
          </w:tblCellMar>
        </w:tblPrEx>
        <w:trPr>
          <w:trHeight w:val="690" w:hRule="atLeast"/>
        </w:trPr>
        <w:tc>
          <w:tcPr>
            <w:tcW w:w="361"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w:t>
            </w:r>
          </w:p>
        </w:tc>
        <w:tc>
          <w:tcPr>
            <w:tcW w:w="72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hint="eastAsia" w:ascii="Times New Roman" w:hAnsi="Times New Roman"/>
                <w:color w:val="auto"/>
                <w:kern w:val="0"/>
                <w:sz w:val="21"/>
                <w:szCs w:val="21"/>
                <w:highlight w:val="none"/>
              </w:rPr>
            </w:pPr>
            <w:r>
              <w:rPr>
                <w:rFonts w:ascii="Times New Roman" w:hAnsi="Times New Roman"/>
                <w:color w:val="auto"/>
                <w:kern w:val="0"/>
                <w:sz w:val="21"/>
                <w:szCs w:val="21"/>
                <w:highlight w:val="none"/>
              </w:rPr>
              <w:t>招采</w:t>
            </w:r>
          </w:p>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配合</w:t>
            </w:r>
            <w:r>
              <w:rPr>
                <w:rFonts w:ascii="Times New Roman" w:hAnsi="Times New Roman"/>
                <w:color w:val="auto"/>
                <w:kern w:val="0"/>
                <w:sz w:val="21"/>
                <w:szCs w:val="21"/>
                <w:highlight w:val="none"/>
              </w:rPr>
              <w:br w:type="textWrapping"/>
            </w:r>
            <w:r>
              <w:rPr>
                <w:rFonts w:ascii="Times New Roman" w:hAnsi="Times New Roman"/>
                <w:color w:val="auto"/>
                <w:kern w:val="0"/>
                <w:sz w:val="21"/>
                <w:szCs w:val="21"/>
                <w:highlight w:val="none"/>
              </w:rPr>
              <w:t>（10分）</w:t>
            </w:r>
          </w:p>
        </w:tc>
        <w:tc>
          <w:tcPr>
            <w:tcW w:w="1592"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积极参与招标采购活动，配合招标人开展回标、谈判与合同签订工作</w:t>
            </w:r>
          </w:p>
        </w:tc>
        <w:tc>
          <w:tcPr>
            <w:tcW w:w="371"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4</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690" w:hRule="atLeast"/>
        </w:trPr>
        <w:tc>
          <w:tcPr>
            <w:tcW w:w="361"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2</w:t>
            </w:r>
          </w:p>
        </w:tc>
        <w:tc>
          <w:tcPr>
            <w:tcW w:w="723"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592"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报价合理，无围标串标现象，无行贿受贿现象，无不良投标情况</w:t>
            </w:r>
          </w:p>
        </w:tc>
        <w:tc>
          <w:tcPr>
            <w:tcW w:w="371"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4</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690" w:hRule="atLeast"/>
        </w:trPr>
        <w:tc>
          <w:tcPr>
            <w:tcW w:w="361"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3</w:t>
            </w:r>
          </w:p>
        </w:tc>
        <w:tc>
          <w:tcPr>
            <w:tcW w:w="723"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592"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按时提交履约保证金，提交金额与合同一致</w:t>
            </w:r>
          </w:p>
        </w:tc>
        <w:tc>
          <w:tcPr>
            <w:tcW w:w="371"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2</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690" w:hRule="atLeast"/>
        </w:trPr>
        <w:tc>
          <w:tcPr>
            <w:tcW w:w="361"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4</w:t>
            </w:r>
          </w:p>
        </w:tc>
        <w:tc>
          <w:tcPr>
            <w:tcW w:w="723"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hint="eastAsia" w:ascii="Times New Roman" w:hAnsi="Times New Roman"/>
                <w:color w:val="auto"/>
                <w:kern w:val="0"/>
                <w:sz w:val="21"/>
                <w:szCs w:val="21"/>
                <w:highlight w:val="none"/>
              </w:rPr>
            </w:pPr>
            <w:r>
              <w:rPr>
                <w:rFonts w:ascii="Times New Roman" w:hAnsi="Times New Roman"/>
                <w:color w:val="auto"/>
                <w:kern w:val="0"/>
                <w:sz w:val="21"/>
                <w:szCs w:val="21"/>
                <w:highlight w:val="none"/>
              </w:rPr>
              <w:t>质量</w:t>
            </w:r>
          </w:p>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要求</w:t>
            </w:r>
            <w:r>
              <w:rPr>
                <w:rFonts w:ascii="Times New Roman" w:hAnsi="Times New Roman"/>
                <w:color w:val="auto"/>
                <w:kern w:val="0"/>
                <w:sz w:val="21"/>
                <w:szCs w:val="21"/>
                <w:highlight w:val="none"/>
              </w:rPr>
              <w:br w:type="textWrapping"/>
            </w:r>
            <w:r>
              <w:rPr>
                <w:rFonts w:ascii="Times New Roman" w:hAnsi="Times New Roman"/>
                <w:color w:val="auto"/>
                <w:kern w:val="0"/>
                <w:sz w:val="21"/>
                <w:szCs w:val="21"/>
                <w:highlight w:val="none"/>
              </w:rPr>
              <w:t>（30分）</w:t>
            </w:r>
          </w:p>
        </w:tc>
        <w:tc>
          <w:tcPr>
            <w:tcW w:w="1592"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产品质量、型号、技术参数、性能等满足合同要求</w:t>
            </w:r>
          </w:p>
        </w:tc>
        <w:tc>
          <w:tcPr>
            <w:tcW w:w="371"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10</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690" w:hRule="atLeast"/>
        </w:trPr>
        <w:tc>
          <w:tcPr>
            <w:tcW w:w="361"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5</w:t>
            </w:r>
          </w:p>
        </w:tc>
        <w:tc>
          <w:tcPr>
            <w:tcW w:w="723"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592"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供应能力充足、到货批次满足合同要求</w:t>
            </w:r>
          </w:p>
        </w:tc>
        <w:tc>
          <w:tcPr>
            <w:tcW w:w="371"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10</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690" w:hRule="atLeast"/>
        </w:trPr>
        <w:tc>
          <w:tcPr>
            <w:tcW w:w="361"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6</w:t>
            </w:r>
          </w:p>
        </w:tc>
        <w:tc>
          <w:tcPr>
            <w:tcW w:w="723"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592"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产品合格率</w:t>
            </w:r>
          </w:p>
        </w:tc>
        <w:tc>
          <w:tcPr>
            <w:tcW w:w="371"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10</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690" w:hRule="atLeast"/>
        </w:trPr>
        <w:tc>
          <w:tcPr>
            <w:tcW w:w="361"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7</w:t>
            </w:r>
          </w:p>
        </w:tc>
        <w:tc>
          <w:tcPr>
            <w:tcW w:w="723" w:type="pct"/>
            <w:vMerge w:val="restart"/>
            <w:tcBorders>
              <w:top w:val="nil"/>
              <w:left w:val="single" w:color="auto" w:sz="4" w:space="0"/>
              <w:bottom w:val="nil"/>
              <w:right w:val="single" w:color="auto" w:sz="4" w:space="0"/>
            </w:tcBorders>
            <w:shd w:val="clear" w:color="000000" w:fill="FFFFFF"/>
            <w:vAlign w:val="center"/>
          </w:tcPr>
          <w:p>
            <w:pPr>
              <w:widowControl/>
              <w:adjustRightInd w:val="0"/>
              <w:snapToGrid w:val="0"/>
              <w:spacing w:line="240" w:lineRule="auto"/>
              <w:ind w:firstLine="0" w:firstLineChars="0"/>
              <w:jc w:val="center"/>
              <w:rPr>
                <w:rFonts w:hint="eastAsia" w:ascii="Times New Roman" w:hAnsi="Times New Roman"/>
                <w:color w:val="auto"/>
                <w:kern w:val="0"/>
                <w:sz w:val="21"/>
                <w:szCs w:val="21"/>
                <w:highlight w:val="none"/>
              </w:rPr>
            </w:pPr>
            <w:r>
              <w:rPr>
                <w:rFonts w:ascii="Times New Roman" w:hAnsi="Times New Roman"/>
                <w:color w:val="auto"/>
                <w:kern w:val="0"/>
                <w:sz w:val="21"/>
                <w:szCs w:val="21"/>
                <w:highlight w:val="none"/>
              </w:rPr>
              <w:t>供货</w:t>
            </w:r>
          </w:p>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服务</w:t>
            </w:r>
            <w:r>
              <w:rPr>
                <w:rFonts w:ascii="Times New Roman" w:hAnsi="Times New Roman"/>
                <w:color w:val="auto"/>
                <w:kern w:val="0"/>
                <w:sz w:val="21"/>
                <w:szCs w:val="21"/>
                <w:highlight w:val="none"/>
              </w:rPr>
              <w:br w:type="textWrapping"/>
            </w:r>
            <w:r>
              <w:rPr>
                <w:rFonts w:ascii="Times New Roman" w:hAnsi="Times New Roman"/>
                <w:color w:val="auto"/>
                <w:kern w:val="0"/>
                <w:sz w:val="21"/>
                <w:szCs w:val="21"/>
                <w:highlight w:val="none"/>
              </w:rPr>
              <w:t>（40分）</w:t>
            </w:r>
          </w:p>
        </w:tc>
        <w:tc>
          <w:tcPr>
            <w:tcW w:w="1592"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到货及时率、补货及时率</w:t>
            </w:r>
          </w:p>
        </w:tc>
        <w:tc>
          <w:tcPr>
            <w:tcW w:w="371"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10</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690" w:hRule="atLeast"/>
        </w:trPr>
        <w:tc>
          <w:tcPr>
            <w:tcW w:w="361"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8</w:t>
            </w:r>
          </w:p>
        </w:tc>
        <w:tc>
          <w:tcPr>
            <w:tcW w:w="723" w:type="pct"/>
            <w:vMerge w:val="continue"/>
            <w:tcBorders>
              <w:top w:val="nil"/>
              <w:left w:val="single" w:color="auto" w:sz="4" w:space="0"/>
              <w:bottom w:val="nil"/>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592"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交货期、开箱验收</w:t>
            </w:r>
          </w:p>
        </w:tc>
        <w:tc>
          <w:tcPr>
            <w:tcW w:w="371"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10</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690" w:hRule="atLeast"/>
        </w:trPr>
        <w:tc>
          <w:tcPr>
            <w:tcW w:w="361"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9</w:t>
            </w:r>
          </w:p>
        </w:tc>
        <w:tc>
          <w:tcPr>
            <w:tcW w:w="723" w:type="pct"/>
            <w:vMerge w:val="continue"/>
            <w:tcBorders>
              <w:top w:val="nil"/>
              <w:left w:val="single" w:color="auto" w:sz="4" w:space="0"/>
              <w:bottom w:val="nil"/>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592"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产品安装、调试服务与质量</w:t>
            </w:r>
          </w:p>
        </w:tc>
        <w:tc>
          <w:tcPr>
            <w:tcW w:w="371"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10</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690" w:hRule="atLeast"/>
        </w:trPr>
        <w:tc>
          <w:tcPr>
            <w:tcW w:w="361"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10</w:t>
            </w:r>
          </w:p>
        </w:tc>
        <w:tc>
          <w:tcPr>
            <w:tcW w:w="723" w:type="pct"/>
            <w:vMerge w:val="continue"/>
            <w:tcBorders>
              <w:top w:val="nil"/>
              <w:left w:val="single" w:color="auto" w:sz="4" w:space="0"/>
              <w:bottom w:val="nil"/>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592"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快速响应能力</w:t>
            </w:r>
          </w:p>
        </w:tc>
        <w:tc>
          <w:tcPr>
            <w:tcW w:w="371"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10</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765" w:hRule="atLeast"/>
        </w:trPr>
        <w:tc>
          <w:tcPr>
            <w:tcW w:w="361"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11</w:t>
            </w:r>
          </w:p>
        </w:tc>
        <w:tc>
          <w:tcPr>
            <w:tcW w:w="723" w:type="pct"/>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hint="eastAsia" w:ascii="Times New Roman" w:hAnsi="Times New Roman"/>
                <w:color w:val="auto"/>
                <w:kern w:val="0"/>
                <w:sz w:val="21"/>
                <w:szCs w:val="21"/>
                <w:highlight w:val="none"/>
              </w:rPr>
            </w:pPr>
            <w:r>
              <w:rPr>
                <w:rFonts w:ascii="Times New Roman" w:hAnsi="Times New Roman"/>
                <w:color w:val="auto"/>
                <w:kern w:val="0"/>
                <w:sz w:val="21"/>
                <w:szCs w:val="21"/>
                <w:highlight w:val="none"/>
              </w:rPr>
              <w:t>成本</w:t>
            </w:r>
          </w:p>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控制</w:t>
            </w:r>
            <w:r>
              <w:rPr>
                <w:rFonts w:ascii="Times New Roman" w:hAnsi="Times New Roman"/>
                <w:color w:val="auto"/>
                <w:kern w:val="0"/>
                <w:sz w:val="21"/>
                <w:szCs w:val="21"/>
                <w:highlight w:val="none"/>
              </w:rPr>
              <w:br w:type="textWrapping"/>
            </w:r>
            <w:r>
              <w:rPr>
                <w:rFonts w:ascii="Times New Roman" w:hAnsi="Times New Roman"/>
                <w:color w:val="auto"/>
                <w:kern w:val="0"/>
                <w:sz w:val="21"/>
                <w:szCs w:val="21"/>
                <w:highlight w:val="none"/>
              </w:rPr>
              <w:t>（15分）</w:t>
            </w:r>
          </w:p>
        </w:tc>
        <w:tc>
          <w:tcPr>
            <w:tcW w:w="1592"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预结算（包括签证）提交及时性，按照合同规定时间提交；上报预(结)算金额的准确性、合理性</w:t>
            </w:r>
          </w:p>
        </w:tc>
        <w:tc>
          <w:tcPr>
            <w:tcW w:w="371"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10</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690" w:hRule="atLeast"/>
        </w:trPr>
        <w:tc>
          <w:tcPr>
            <w:tcW w:w="361"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12</w:t>
            </w:r>
          </w:p>
        </w:tc>
        <w:tc>
          <w:tcPr>
            <w:tcW w:w="723" w:type="pct"/>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592"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价格水平计分标准</w:t>
            </w:r>
          </w:p>
        </w:tc>
        <w:tc>
          <w:tcPr>
            <w:tcW w:w="371"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5</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690" w:hRule="atLeast"/>
        </w:trPr>
        <w:tc>
          <w:tcPr>
            <w:tcW w:w="361"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13</w:t>
            </w:r>
          </w:p>
        </w:tc>
        <w:tc>
          <w:tcPr>
            <w:tcW w:w="72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hint="eastAsia" w:ascii="Times New Roman" w:hAnsi="Times New Roman"/>
                <w:color w:val="auto"/>
                <w:kern w:val="0"/>
                <w:sz w:val="21"/>
                <w:szCs w:val="21"/>
                <w:highlight w:val="none"/>
              </w:rPr>
            </w:pPr>
            <w:r>
              <w:rPr>
                <w:rFonts w:ascii="Times New Roman" w:hAnsi="Times New Roman"/>
                <w:color w:val="auto"/>
                <w:kern w:val="0"/>
                <w:sz w:val="21"/>
                <w:szCs w:val="21"/>
                <w:highlight w:val="none"/>
              </w:rPr>
              <w:t>维保</w:t>
            </w:r>
          </w:p>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服务</w:t>
            </w:r>
            <w:r>
              <w:rPr>
                <w:rFonts w:ascii="Times New Roman" w:hAnsi="Times New Roman"/>
                <w:color w:val="auto"/>
                <w:kern w:val="0"/>
                <w:sz w:val="21"/>
                <w:szCs w:val="21"/>
                <w:highlight w:val="none"/>
              </w:rPr>
              <w:br w:type="textWrapping"/>
            </w:r>
            <w:r>
              <w:rPr>
                <w:rFonts w:ascii="Times New Roman" w:hAnsi="Times New Roman"/>
                <w:color w:val="auto"/>
                <w:kern w:val="0"/>
                <w:sz w:val="21"/>
                <w:szCs w:val="21"/>
                <w:highlight w:val="none"/>
              </w:rPr>
              <w:t>（5分）</w:t>
            </w:r>
          </w:p>
        </w:tc>
        <w:tc>
          <w:tcPr>
            <w:tcW w:w="1592"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保养服务水准及售后服务的及时性</w:t>
            </w:r>
          </w:p>
        </w:tc>
        <w:tc>
          <w:tcPr>
            <w:tcW w:w="371"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3</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690" w:hRule="atLeast"/>
        </w:trPr>
        <w:tc>
          <w:tcPr>
            <w:tcW w:w="361"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14</w:t>
            </w:r>
          </w:p>
        </w:tc>
        <w:tc>
          <w:tcPr>
            <w:tcW w:w="723"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p>
        </w:tc>
        <w:tc>
          <w:tcPr>
            <w:tcW w:w="1592"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color w:val="auto"/>
                <w:kern w:val="0"/>
                <w:sz w:val="21"/>
                <w:szCs w:val="21"/>
                <w:highlight w:val="none"/>
              </w:rPr>
            </w:pPr>
            <w:r>
              <w:rPr>
                <w:rFonts w:ascii="Times New Roman" w:hAnsi="Times New Roman"/>
                <w:color w:val="auto"/>
                <w:kern w:val="0"/>
                <w:sz w:val="21"/>
                <w:szCs w:val="21"/>
                <w:highlight w:val="none"/>
              </w:rPr>
              <w:t>维修、换货的质量</w:t>
            </w:r>
          </w:p>
        </w:tc>
        <w:tc>
          <w:tcPr>
            <w:tcW w:w="371"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2</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r>
        <w:tblPrEx>
          <w:tblCellMar>
            <w:top w:w="0" w:type="dxa"/>
            <w:left w:w="108" w:type="dxa"/>
            <w:bottom w:w="0" w:type="dxa"/>
            <w:right w:w="108" w:type="dxa"/>
          </w:tblCellMar>
        </w:tblPrEx>
        <w:trPr>
          <w:trHeight w:val="690" w:hRule="atLeast"/>
        </w:trPr>
        <w:tc>
          <w:tcPr>
            <w:tcW w:w="2676" w:type="pct"/>
            <w:gridSpan w:val="3"/>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评分合计</w:t>
            </w:r>
          </w:p>
        </w:tc>
        <w:tc>
          <w:tcPr>
            <w:tcW w:w="371"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100</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518"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c>
          <w:tcPr>
            <w:tcW w:w="400"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color w:val="auto"/>
                <w:kern w:val="0"/>
                <w:sz w:val="21"/>
                <w:szCs w:val="21"/>
                <w:highlight w:val="none"/>
              </w:rPr>
            </w:pPr>
            <w:r>
              <w:rPr>
                <w:rFonts w:ascii="Times New Roman" w:hAnsi="Times New Roman"/>
                <w:color w:val="auto"/>
                <w:kern w:val="0"/>
                <w:sz w:val="21"/>
                <w:szCs w:val="21"/>
                <w:highlight w:val="none"/>
              </w:rPr>
              <w:t>　</w:t>
            </w:r>
          </w:p>
        </w:tc>
      </w:tr>
    </w:tbl>
    <w:p>
      <w:pPr>
        <w:ind w:firstLine="0" w:firstLineChars="0"/>
        <w:rPr>
          <w:rFonts w:hint="eastAsia" w:ascii="Times New Roman" w:hAnsi="Times New Roman"/>
          <w:color w:val="auto"/>
          <w:highlight w:val="none"/>
        </w:rPr>
      </w:pPr>
    </w:p>
    <w:p>
      <w:pPr>
        <w:ind w:firstLine="0" w:firstLineChars="0"/>
        <w:rPr>
          <w:rFonts w:hint="eastAsia" w:ascii="Times New Roman" w:hAnsi="Times New Roman"/>
          <w:color w:val="auto"/>
          <w:highlight w:val="none"/>
        </w:rPr>
      </w:pPr>
    </w:p>
    <w:p>
      <w:pPr>
        <w:ind w:firstLine="0" w:firstLineChars="0"/>
        <w:jc w:val="center"/>
        <w:rPr>
          <w:rFonts w:ascii="Times New Roman" w:hAnsi="Times New Roman"/>
          <w:b/>
          <w:color w:val="auto"/>
          <w:sz w:val="28"/>
          <w:szCs w:val="28"/>
          <w:highlight w:val="none"/>
        </w:rPr>
      </w:pPr>
      <w:r>
        <w:rPr>
          <w:rFonts w:hint="eastAsia" w:ascii="Times New Roman" w:hAnsi="Times New Roman"/>
          <w:b/>
          <w:color w:val="auto"/>
          <w:sz w:val="28"/>
          <w:szCs w:val="28"/>
          <w:highlight w:val="none"/>
        </w:rPr>
        <w:t>服务</w:t>
      </w:r>
      <w:r>
        <w:rPr>
          <w:rFonts w:ascii="Times New Roman" w:hAnsi="Times New Roman"/>
          <w:b/>
          <w:color w:val="auto"/>
          <w:sz w:val="28"/>
          <w:szCs w:val="28"/>
          <w:highlight w:val="none"/>
        </w:rPr>
        <w:t>类供应商</w:t>
      </w:r>
      <w:r>
        <w:rPr>
          <w:rFonts w:ascii="Times New Roman" w:hAnsi="Times New Roman"/>
          <w:b/>
          <w:color w:val="auto"/>
          <w:sz w:val="28"/>
          <w:szCs w:val="28"/>
          <w:highlight w:val="none"/>
          <w:u w:val="single"/>
        </w:rPr>
        <w:t xml:space="preserve">     </w:t>
      </w:r>
      <w:r>
        <w:rPr>
          <w:rFonts w:ascii="Times New Roman" w:hAnsi="Times New Roman"/>
          <w:b/>
          <w:color w:val="auto"/>
          <w:sz w:val="28"/>
          <w:szCs w:val="28"/>
          <w:highlight w:val="none"/>
        </w:rPr>
        <w:t>年度履约考核表</w:t>
      </w:r>
    </w:p>
    <w:p>
      <w:pPr>
        <w:ind w:firstLine="0" w:firstLineChars="0"/>
        <w:rPr>
          <w:rFonts w:hint="eastAsia" w:ascii="Times New Roman" w:hAnsi="Times New Roman"/>
          <w:color w:val="auto"/>
          <w:highlight w:val="none"/>
        </w:rPr>
      </w:pPr>
      <w:r>
        <w:rPr>
          <w:rFonts w:ascii="Times New Roman" w:hAnsi="Times New Roman"/>
          <w:color w:val="auto"/>
          <w:sz w:val="21"/>
          <w:highlight w:val="none"/>
        </w:rPr>
        <w:t>专业分类：</w:t>
      </w:r>
      <w:r>
        <w:rPr>
          <w:rFonts w:ascii="Times New Roman" w:hAnsi="Times New Roman"/>
          <w:color w:val="auto"/>
          <w:sz w:val="21"/>
          <w:highlight w:val="none"/>
          <w:u w:val="single"/>
        </w:rPr>
        <w:t xml:space="preserve">                         </w:t>
      </w:r>
      <w:r>
        <w:rPr>
          <w:rFonts w:ascii="Times New Roman" w:hAnsi="Times New Roman"/>
          <w:color w:val="auto"/>
          <w:sz w:val="21"/>
          <w:highlight w:val="none"/>
        </w:rPr>
        <w:t xml:space="preserve">  供应商名称：</w:t>
      </w:r>
      <w:r>
        <w:rPr>
          <w:rFonts w:ascii="Times New Roman" w:hAnsi="Times New Roman"/>
          <w:color w:val="auto"/>
          <w:sz w:val="21"/>
          <w:highlight w:val="none"/>
          <w:u w:val="single"/>
        </w:rPr>
        <w:t xml:space="preserve">                         </w:t>
      </w:r>
      <w:r>
        <w:rPr>
          <w:rFonts w:ascii="Times New Roman" w:hAnsi="Times New Roman"/>
          <w:color w:val="auto"/>
          <w:sz w:val="21"/>
          <w:highlight w:val="none"/>
        </w:rPr>
        <w:t xml:space="preserve">  </w:t>
      </w:r>
    </w:p>
    <w:tbl>
      <w:tblPr>
        <w:tblStyle w:val="13"/>
        <w:tblW w:w="5000" w:type="pct"/>
        <w:tblInd w:w="0" w:type="dxa"/>
        <w:tblLayout w:type="autofit"/>
        <w:tblCellMar>
          <w:top w:w="0" w:type="dxa"/>
          <w:left w:w="108" w:type="dxa"/>
          <w:bottom w:w="0" w:type="dxa"/>
          <w:right w:w="108" w:type="dxa"/>
        </w:tblCellMar>
      </w:tblPr>
      <w:tblGrid>
        <w:gridCol w:w="636"/>
        <w:gridCol w:w="636"/>
        <w:gridCol w:w="3577"/>
        <w:gridCol w:w="636"/>
        <w:gridCol w:w="1056"/>
        <w:gridCol w:w="1056"/>
        <w:gridCol w:w="1056"/>
        <w:gridCol w:w="636"/>
      </w:tblGrid>
      <w:tr>
        <w:tblPrEx>
          <w:tblCellMar>
            <w:top w:w="0" w:type="dxa"/>
            <w:left w:w="108" w:type="dxa"/>
            <w:bottom w:w="0" w:type="dxa"/>
            <w:right w:w="108" w:type="dxa"/>
          </w:tblCellMar>
        </w:tblPrEx>
        <w:trPr>
          <w:trHeight w:val="460" w:hRule="atLeast"/>
        </w:trPr>
        <w:tc>
          <w:tcPr>
            <w:tcW w:w="423"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序号</w:t>
            </w:r>
          </w:p>
        </w:tc>
        <w:tc>
          <w:tcPr>
            <w:tcW w:w="423"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评价指标</w:t>
            </w:r>
          </w:p>
        </w:tc>
        <w:tc>
          <w:tcPr>
            <w:tcW w:w="2037"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评价内容</w:t>
            </w:r>
          </w:p>
        </w:tc>
        <w:tc>
          <w:tcPr>
            <w:tcW w:w="423"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满分</w:t>
            </w:r>
          </w:p>
        </w:tc>
        <w:tc>
          <w:tcPr>
            <w:tcW w:w="1270" w:type="pct"/>
            <w:gridSpan w:val="3"/>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考核评分</w:t>
            </w:r>
          </w:p>
        </w:tc>
        <w:tc>
          <w:tcPr>
            <w:tcW w:w="423"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备注</w:t>
            </w:r>
          </w:p>
        </w:tc>
      </w:tr>
      <w:tr>
        <w:tblPrEx>
          <w:tblCellMar>
            <w:top w:w="0" w:type="dxa"/>
            <w:left w:w="108" w:type="dxa"/>
            <w:bottom w:w="0" w:type="dxa"/>
            <w:right w:w="108" w:type="dxa"/>
          </w:tblCellMar>
        </w:tblPrEx>
        <w:trPr>
          <w:trHeight w:val="551" w:hRule="atLeast"/>
        </w:trPr>
        <w:tc>
          <w:tcPr>
            <w:tcW w:w="423" w:type="pct"/>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423" w:type="pct"/>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2037" w:type="pct"/>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42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399"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需求部门</w:t>
            </w:r>
          </w:p>
        </w:tc>
        <w:tc>
          <w:tcPr>
            <w:tcW w:w="436"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工管中心</w:t>
            </w:r>
          </w:p>
        </w:tc>
        <w:tc>
          <w:tcPr>
            <w:tcW w:w="436"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加权得分</w:t>
            </w:r>
          </w:p>
        </w:tc>
        <w:tc>
          <w:tcPr>
            <w:tcW w:w="423" w:type="pct"/>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r>
      <w:tr>
        <w:tblPrEx>
          <w:tblCellMar>
            <w:top w:w="0" w:type="dxa"/>
            <w:left w:w="108" w:type="dxa"/>
            <w:bottom w:w="0" w:type="dxa"/>
            <w:right w:w="108" w:type="dxa"/>
          </w:tblCellMar>
        </w:tblPrEx>
        <w:trPr>
          <w:trHeight w:val="675" w:hRule="atLeast"/>
        </w:trPr>
        <w:tc>
          <w:tcPr>
            <w:tcW w:w="423"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1</w:t>
            </w:r>
          </w:p>
        </w:tc>
        <w:tc>
          <w:tcPr>
            <w:tcW w:w="42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招采配合</w:t>
            </w:r>
            <w:r>
              <w:rPr>
                <w:rFonts w:ascii="Times New Roman" w:hAnsi="Times New Roman" w:eastAsiaTheme="minorEastAsia"/>
                <w:color w:val="auto"/>
                <w:kern w:val="0"/>
                <w:sz w:val="21"/>
                <w:szCs w:val="21"/>
                <w:highlight w:val="none"/>
              </w:rPr>
              <w:br w:type="textWrapping"/>
            </w:r>
            <w:r>
              <w:rPr>
                <w:rFonts w:ascii="Times New Roman" w:hAnsi="Times New Roman" w:eastAsiaTheme="minorEastAsia"/>
                <w:color w:val="auto"/>
                <w:kern w:val="0"/>
                <w:sz w:val="21"/>
                <w:szCs w:val="21"/>
                <w:highlight w:val="none"/>
              </w:rPr>
              <w:t>（10分）</w:t>
            </w:r>
          </w:p>
        </w:tc>
        <w:tc>
          <w:tcPr>
            <w:tcW w:w="2037"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积极参与招标采购活动，配合招标人开展回标、谈判与合同签订工作</w:t>
            </w:r>
          </w:p>
        </w:tc>
        <w:tc>
          <w:tcPr>
            <w:tcW w:w="423"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4</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tblCellMar>
            <w:top w:w="0" w:type="dxa"/>
            <w:left w:w="108" w:type="dxa"/>
            <w:bottom w:w="0" w:type="dxa"/>
            <w:right w:w="108" w:type="dxa"/>
          </w:tblCellMar>
        </w:tblPrEx>
        <w:trPr>
          <w:trHeight w:val="675" w:hRule="atLeast"/>
        </w:trPr>
        <w:tc>
          <w:tcPr>
            <w:tcW w:w="423"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2</w:t>
            </w:r>
          </w:p>
        </w:tc>
        <w:tc>
          <w:tcPr>
            <w:tcW w:w="423"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2037"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报价合理，无围标串标现象，无行贿受贿现象，无不良投标情况</w:t>
            </w:r>
          </w:p>
        </w:tc>
        <w:tc>
          <w:tcPr>
            <w:tcW w:w="423"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4</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tblCellMar>
            <w:top w:w="0" w:type="dxa"/>
            <w:left w:w="108" w:type="dxa"/>
            <w:bottom w:w="0" w:type="dxa"/>
            <w:right w:w="108" w:type="dxa"/>
          </w:tblCellMar>
        </w:tblPrEx>
        <w:trPr>
          <w:trHeight w:val="675" w:hRule="atLeast"/>
        </w:trPr>
        <w:tc>
          <w:tcPr>
            <w:tcW w:w="423"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3</w:t>
            </w:r>
          </w:p>
        </w:tc>
        <w:tc>
          <w:tcPr>
            <w:tcW w:w="423"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2037"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按时提交履约保证金，提交金额与合同一致</w:t>
            </w:r>
          </w:p>
        </w:tc>
        <w:tc>
          <w:tcPr>
            <w:tcW w:w="423"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2</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tblCellMar>
            <w:top w:w="0" w:type="dxa"/>
            <w:left w:w="108" w:type="dxa"/>
            <w:bottom w:w="0" w:type="dxa"/>
            <w:right w:w="108" w:type="dxa"/>
          </w:tblCellMar>
        </w:tblPrEx>
        <w:trPr>
          <w:trHeight w:val="675" w:hRule="atLeast"/>
        </w:trPr>
        <w:tc>
          <w:tcPr>
            <w:tcW w:w="423"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4</w:t>
            </w:r>
          </w:p>
        </w:tc>
        <w:tc>
          <w:tcPr>
            <w:tcW w:w="423"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组织与团队（20分）</w:t>
            </w:r>
          </w:p>
        </w:tc>
        <w:tc>
          <w:tcPr>
            <w:tcW w:w="2037"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团队对项目的支持，项目负责人、主要技术人员到场率</w:t>
            </w:r>
          </w:p>
        </w:tc>
        <w:tc>
          <w:tcPr>
            <w:tcW w:w="423"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tblCellMar>
            <w:top w:w="0" w:type="dxa"/>
            <w:left w:w="108" w:type="dxa"/>
            <w:bottom w:w="0" w:type="dxa"/>
            <w:right w:w="108" w:type="dxa"/>
          </w:tblCellMar>
        </w:tblPrEx>
        <w:trPr>
          <w:trHeight w:val="675" w:hRule="atLeast"/>
        </w:trPr>
        <w:tc>
          <w:tcPr>
            <w:tcW w:w="423"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5</w:t>
            </w:r>
          </w:p>
        </w:tc>
        <w:tc>
          <w:tcPr>
            <w:tcW w:w="423"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2037"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服务团队的专业能力，服务团队的人员充足性</w:t>
            </w:r>
          </w:p>
        </w:tc>
        <w:tc>
          <w:tcPr>
            <w:tcW w:w="423"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10</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tblCellMar>
            <w:top w:w="0" w:type="dxa"/>
            <w:left w:w="108" w:type="dxa"/>
            <w:bottom w:w="0" w:type="dxa"/>
            <w:right w:w="108" w:type="dxa"/>
          </w:tblCellMar>
        </w:tblPrEx>
        <w:trPr>
          <w:trHeight w:val="675" w:hRule="atLeast"/>
        </w:trPr>
        <w:tc>
          <w:tcPr>
            <w:tcW w:w="423"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6</w:t>
            </w:r>
          </w:p>
        </w:tc>
        <w:tc>
          <w:tcPr>
            <w:tcW w:w="423"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2037"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团队的服务态度、敬业精神</w:t>
            </w:r>
          </w:p>
        </w:tc>
        <w:tc>
          <w:tcPr>
            <w:tcW w:w="423"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tblCellMar>
            <w:top w:w="0" w:type="dxa"/>
            <w:left w:w="108" w:type="dxa"/>
            <w:bottom w:w="0" w:type="dxa"/>
            <w:right w:w="108" w:type="dxa"/>
          </w:tblCellMar>
        </w:tblPrEx>
        <w:trPr>
          <w:trHeight w:val="675" w:hRule="atLeast"/>
        </w:trPr>
        <w:tc>
          <w:tcPr>
            <w:tcW w:w="423"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7</w:t>
            </w:r>
          </w:p>
        </w:tc>
        <w:tc>
          <w:tcPr>
            <w:tcW w:w="423" w:type="pct"/>
            <w:vMerge w:val="restart"/>
            <w:tcBorders>
              <w:top w:val="nil"/>
              <w:left w:val="single" w:color="auto" w:sz="4" w:space="0"/>
              <w:bottom w:val="nil"/>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服务质量（40分）</w:t>
            </w:r>
          </w:p>
        </w:tc>
        <w:tc>
          <w:tcPr>
            <w:tcW w:w="2037"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服务成果质量、准确性、完整性</w:t>
            </w:r>
          </w:p>
        </w:tc>
        <w:tc>
          <w:tcPr>
            <w:tcW w:w="423"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10</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tblCellMar>
            <w:top w:w="0" w:type="dxa"/>
            <w:left w:w="108" w:type="dxa"/>
            <w:bottom w:w="0" w:type="dxa"/>
            <w:right w:w="108" w:type="dxa"/>
          </w:tblCellMar>
        </w:tblPrEx>
        <w:trPr>
          <w:trHeight w:val="675" w:hRule="atLeast"/>
        </w:trPr>
        <w:tc>
          <w:tcPr>
            <w:tcW w:w="423"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8</w:t>
            </w:r>
          </w:p>
        </w:tc>
        <w:tc>
          <w:tcPr>
            <w:tcW w:w="423" w:type="pct"/>
            <w:vMerge w:val="continue"/>
            <w:tcBorders>
              <w:top w:val="nil"/>
              <w:left w:val="single" w:color="auto" w:sz="4" w:space="0"/>
              <w:bottom w:val="nil"/>
              <w:right w:val="single" w:color="auto" w:sz="4" w:space="0"/>
            </w:tcBorders>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2037"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符合国家、地方规范（过程中）</w:t>
            </w:r>
          </w:p>
        </w:tc>
        <w:tc>
          <w:tcPr>
            <w:tcW w:w="423"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tblCellMar>
            <w:top w:w="0" w:type="dxa"/>
            <w:left w:w="108" w:type="dxa"/>
            <w:bottom w:w="0" w:type="dxa"/>
            <w:right w:w="108" w:type="dxa"/>
          </w:tblCellMar>
        </w:tblPrEx>
        <w:trPr>
          <w:trHeight w:val="675" w:hRule="atLeast"/>
        </w:trPr>
        <w:tc>
          <w:tcPr>
            <w:tcW w:w="423"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9</w:t>
            </w:r>
          </w:p>
        </w:tc>
        <w:tc>
          <w:tcPr>
            <w:tcW w:w="423" w:type="pct"/>
            <w:vMerge w:val="continue"/>
            <w:tcBorders>
              <w:top w:val="nil"/>
              <w:left w:val="single" w:color="auto" w:sz="4" w:space="0"/>
              <w:bottom w:val="nil"/>
              <w:right w:val="single" w:color="auto" w:sz="4" w:space="0"/>
            </w:tcBorders>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2037"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因服务质量而导致的工程质量、进度、成本等的影响</w:t>
            </w:r>
          </w:p>
        </w:tc>
        <w:tc>
          <w:tcPr>
            <w:tcW w:w="423"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10</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tblCellMar>
            <w:top w:w="0" w:type="dxa"/>
            <w:left w:w="108" w:type="dxa"/>
            <w:bottom w:w="0" w:type="dxa"/>
            <w:right w:w="108" w:type="dxa"/>
          </w:tblCellMar>
        </w:tblPrEx>
        <w:trPr>
          <w:trHeight w:val="675" w:hRule="atLeast"/>
        </w:trPr>
        <w:tc>
          <w:tcPr>
            <w:tcW w:w="423"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23" w:type="pct"/>
            <w:vMerge w:val="continue"/>
            <w:tcBorders>
              <w:top w:val="nil"/>
              <w:left w:val="single" w:color="auto" w:sz="4" w:space="0"/>
              <w:bottom w:val="nil"/>
              <w:right w:val="single" w:color="auto" w:sz="4" w:space="0"/>
            </w:tcBorders>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2037"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提出合理化建议，提升项目竞争力</w:t>
            </w:r>
          </w:p>
        </w:tc>
        <w:tc>
          <w:tcPr>
            <w:tcW w:w="423"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10</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tblCellMar>
            <w:top w:w="0" w:type="dxa"/>
            <w:left w:w="108" w:type="dxa"/>
            <w:bottom w:w="0" w:type="dxa"/>
            <w:right w:w="108" w:type="dxa"/>
          </w:tblCellMar>
        </w:tblPrEx>
        <w:trPr>
          <w:trHeight w:val="675" w:hRule="atLeast"/>
        </w:trPr>
        <w:tc>
          <w:tcPr>
            <w:tcW w:w="423"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10</w:t>
            </w:r>
          </w:p>
        </w:tc>
        <w:tc>
          <w:tcPr>
            <w:tcW w:w="423" w:type="pct"/>
            <w:vMerge w:val="continue"/>
            <w:tcBorders>
              <w:top w:val="nil"/>
              <w:left w:val="single" w:color="auto" w:sz="4" w:space="0"/>
              <w:bottom w:val="nil"/>
              <w:right w:val="single" w:color="auto" w:sz="4" w:space="0"/>
            </w:tcBorders>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2037"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对甲方指令的执行力，协助甲方完成各项辅助性工作</w:t>
            </w:r>
          </w:p>
        </w:tc>
        <w:tc>
          <w:tcPr>
            <w:tcW w:w="423"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tblCellMar>
            <w:top w:w="0" w:type="dxa"/>
            <w:left w:w="108" w:type="dxa"/>
            <w:bottom w:w="0" w:type="dxa"/>
            <w:right w:w="108" w:type="dxa"/>
          </w:tblCellMar>
        </w:tblPrEx>
        <w:trPr>
          <w:trHeight w:val="675" w:hRule="atLeast"/>
        </w:trPr>
        <w:tc>
          <w:tcPr>
            <w:tcW w:w="423"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11</w:t>
            </w:r>
          </w:p>
        </w:tc>
        <w:tc>
          <w:tcPr>
            <w:tcW w:w="423" w:type="pct"/>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进度管理（20分）</w:t>
            </w:r>
          </w:p>
        </w:tc>
        <w:tc>
          <w:tcPr>
            <w:tcW w:w="2037"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提交成果的及时性</w:t>
            </w:r>
          </w:p>
        </w:tc>
        <w:tc>
          <w:tcPr>
            <w:tcW w:w="423"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10</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tblCellMar>
            <w:top w:w="0" w:type="dxa"/>
            <w:left w:w="108" w:type="dxa"/>
            <w:bottom w:w="0" w:type="dxa"/>
            <w:right w:w="108" w:type="dxa"/>
          </w:tblCellMar>
        </w:tblPrEx>
        <w:trPr>
          <w:trHeight w:val="675" w:hRule="atLeast"/>
        </w:trPr>
        <w:tc>
          <w:tcPr>
            <w:tcW w:w="423"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12</w:t>
            </w:r>
          </w:p>
        </w:tc>
        <w:tc>
          <w:tcPr>
            <w:tcW w:w="423" w:type="pct"/>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2037"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积极配合甲方完成各项修改、调整，及时提交更新的成果</w:t>
            </w:r>
          </w:p>
        </w:tc>
        <w:tc>
          <w:tcPr>
            <w:tcW w:w="423"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10</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tblCellMar>
            <w:top w:w="0" w:type="dxa"/>
            <w:left w:w="108" w:type="dxa"/>
            <w:bottom w:w="0" w:type="dxa"/>
            <w:right w:w="108" w:type="dxa"/>
          </w:tblCellMar>
        </w:tblPrEx>
        <w:trPr>
          <w:trHeight w:val="675" w:hRule="atLeast"/>
        </w:trPr>
        <w:tc>
          <w:tcPr>
            <w:tcW w:w="423"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13</w:t>
            </w:r>
          </w:p>
        </w:tc>
        <w:tc>
          <w:tcPr>
            <w:tcW w:w="423"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资料档案管理（10分）</w:t>
            </w:r>
          </w:p>
        </w:tc>
        <w:tc>
          <w:tcPr>
            <w:tcW w:w="2037"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按甲方要求完成资料、档案的整理、归档工作</w:t>
            </w:r>
          </w:p>
        </w:tc>
        <w:tc>
          <w:tcPr>
            <w:tcW w:w="423"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tblCellMar>
            <w:top w:w="0" w:type="dxa"/>
            <w:left w:w="108" w:type="dxa"/>
            <w:bottom w:w="0" w:type="dxa"/>
            <w:right w:w="108" w:type="dxa"/>
          </w:tblCellMar>
        </w:tblPrEx>
        <w:trPr>
          <w:trHeight w:val="675" w:hRule="atLeast"/>
        </w:trPr>
        <w:tc>
          <w:tcPr>
            <w:tcW w:w="423"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14</w:t>
            </w:r>
          </w:p>
        </w:tc>
        <w:tc>
          <w:tcPr>
            <w:tcW w:w="423"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p>
        </w:tc>
        <w:tc>
          <w:tcPr>
            <w:tcW w:w="2037"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资料、档案提交的及时性、准确性</w:t>
            </w:r>
          </w:p>
        </w:tc>
        <w:tc>
          <w:tcPr>
            <w:tcW w:w="423"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c>
          <w:tcPr>
            <w:tcW w:w="4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　</w:t>
            </w:r>
          </w:p>
        </w:tc>
      </w:tr>
      <w:tr>
        <w:tblPrEx>
          <w:tblCellMar>
            <w:top w:w="0" w:type="dxa"/>
            <w:left w:w="108" w:type="dxa"/>
            <w:bottom w:w="0" w:type="dxa"/>
            <w:right w:w="108" w:type="dxa"/>
          </w:tblCellMar>
        </w:tblPrEx>
        <w:trPr>
          <w:trHeight w:val="465" w:hRule="atLeast"/>
        </w:trPr>
        <w:tc>
          <w:tcPr>
            <w:tcW w:w="2884"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b/>
                <w:bCs/>
                <w:color w:val="auto"/>
                <w:kern w:val="0"/>
                <w:sz w:val="21"/>
                <w:szCs w:val="21"/>
                <w:highlight w:val="none"/>
              </w:rPr>
            </w:pPr>
            <w:r>
              <w:rPr>
                <w:rFonts w:ascii="Times New Roman" w:hAnsi="Times New Roman" w:eastAsiaTheme="minorEastAsia"/>
                <w:b/>
                <w:bCs/>
                <w:color w:val="auto"/>
                <w:kern w:val="0"/>
                <w:sz w:val="21"/>
                <w:szCs w:val="21"/>
                <w:highlight w:val="none"/>
              </w:rPr>
              <w:t>总评分</w:t>
            </w:r>
          </w:p>
        </w:tc>
        <w:tc>
          <w:tcPr>
            <w:tcW w:w="423" w:type="pct"/>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ascii="Times New Roman" w:hAnsi="Times New Roman" w:eastAsiaTheme="minorEastAsia"/>
                <w:color w:val="auto"/>
                <w:kern w:val="0"/>
                <w:sz w:val="21"/>
                <w:szCs w:val="21"/>
                <w:highlight w:val="none"/>
              </w:rPr>
            </w:pPr>
            <w:r>
              <w:rPr>
                <w:rFonts w:ascii="Times New Roman" w:hAnsi="Times New Roman" w:eastAsiaTheme="minorEastAsia"/>
                <w:color w:val="auto"/>
                <w:kern w:val="0"/>
                <w:sz w:val="21"/>
                <w:szCs w:val="21"/>
                <w:highlight w:val="none"/>
              </w:rPr>
              <w:t>100</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b/>
                <w:bCs/>
                <w:color w:val="auto"/>
                <w:kern w:val="0"/>
                <w:sz w:val="21"/>
                <w:szCs w:val="21"/>
                <w:highlight w:val="none"/>
              </w:rPr>
            </w:pPr>
            <w:r>
              <w:rPr>
                <w:rFonts w:ascii="Times New Roman" w:hAnsi="Times New Roman" w:eastAsiaTheme="minorEastAsia"/>
                <w:b/>
                <w:bCs/>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ascii="Times New Roman" w:hAnsi="Times New Roman" w:eastAsiaTheme="minorEastAsia"/>
                <w:b/>
                <w:bCs/>
                <w:color w:val="auto"/>
                <w:kern w:val="0"/>
                <w:sz w:val="21"/>
                <w:szCs w:val="21"/>
                <w:highlight w:val="none"/>
              </w:rPr>
            </w:pPr>
            <w:r>
              <w:rPr>
                <w:rFonts w:ascii="Times New Roman" w:hAnsi="Times New Roman" w:eastAsiaTheme="minorEastAsia"/>
                <w:b/>
                <w:bCs/>
                <w:color w:val="auto"/>
                <w:kern w:val="0"/>
                <w:sz w:val="21"/>
                <w:szCs w:val="21"/>
                <w:highlight w:val="none"/>
              </w:rPr>
              <w:t>　</w:t>
            </w:r>
          </w:p>
        </w:tc>
        <w:tc>
          <w:tcPr>
            <w:tcW w:w="43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b/>
                <w:bCs/>
                <w:color w:val="auto"/>
                <w:kern w:val="0"/>
                <w:sz w:val="21"/>
                <w:szCs w:val="21"/>
                <w:highlight w:val="none"/>
              </w:rPr>
            </w:pPr>
            <w:r>
              <w:rPr>
                <w:rFonts w:ascii="Times New Roman" w:hAnsi="Times New Roman" w:eastAsiaTheme="minorEastAsia"/>
                <w:b/>
                <w:bCs/>
                <w:color w:val="auto"/>
                <w:kern w:val="0"/>
                <w:sz w:val="21"/>
                <w:szCs w:val="21"/>
                <w:highlight w:val="none"/>
              </w:rPr>
              <w:t>　</w:t>
            </w:r>
          </w:p>
        </w:tc>
        <w:tc>
          <w:tcPr>
            <w:tcW w:w="4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ascii="Times New Roman" w:hAnsi="Times New Roman" w:eastAsiaTheme="minorEastAsia"/>
                <w:b/>
                <w:bCs/>
                <w:color w:val="auto"/>
                <w:kern w:val="0"/>
                <w:sz w:val="21"/>
                <w:szCs w:val="21"/>
                <w:highlight w:val="none"/>
              </w:rPr>
            </w:pPr>
            <w:r>
              <w:rPr>
                <w:rFonts w:ascii="Times New Roman" w:hAnsi="Times New Roman" w:eastAsiaTheme="minorEastAsia"/>
                <w:b/>
                <w:bCs/>
                <w:color w:val="auto"/>
                <w:kern w:val="0"/>
                <w:sz w:val="21"/>
                <w:szCs w:val="21"/>
                <w:highlight w:val="none"/>
              </w:rPr>
              <w:t>　</w:t>
            </w:r>
          </w:p>
        </w:tc>
      </w:tr>
    </w:tbl>
    <w:p>
      <w:pPr>
        <w:ind w:firstLine="0" w:firstLineChars="0"/>
        <w:rPr>
          <w:rFonts w:ascii="Times New Roman" w:hAnsi="Times New Roman"/>
          <w:color w:val="auto"/>
          <w:highlight w:val="none"/>
        </w:rPr>
      </w:pPr>
    </w:p>
    <w:p>
      <w:pPr>
        <w:pStyle w:val="2"/>
        <w:ind w:left="0" w:leftChars="0" w:firstLine="0" w:firstLineChars="0"/>
        <w:rPr>
          <w:rStyle w:val="32"/>
          <w:rFonts w:ascii="Times New Roman" w:hAnsi="Times New Roman" w:eastAsia="宋体" w:cs="Times New Roman"/>
          <w:color w:val="auto"/>
          <w:sz w:val="24"/>
          <w:szCs w:val="24"/>
          <w:highlight w:val="none"/>
        </w:rPr>
      </w:pPr>
    </w:p>
    <w:sectPr>
      <w:headerReference r:id="rId3" w:type="default"/>
      <w:footerReference r:id="rId4" w:type="default"/>
      <w:footerReference r:id="rId5" w:type="even"/>
      <w:pgSz w:w="11906" w:h="16838"/>
      <w:pgMar w:top="1559" w:right="1418" w:bottom="1559" w:left="1418"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Impact">
    <w:panose1 w:val="020B0806030902050204"/>
    <w:charset w:val="00"/>
    <w:family w:val="swiss"/>
    <w:pitch w:val="default"/>
    <w:sig w:usb0="00000287" w:usb1="00000000" w:usb2="00000000" w:usb3="00000000" w:csb0="2000009F" w:csb1="DFD7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Garamond">
    <w:panose1 w:val="02020404030301010803"/>
    <w:charset w:val="00"/>
    <w:family w:val="roman"/>
    <w:pitch w:val="default"/>
    <w:sig w:usb0="00000287" w:usb1="00000000" w:usb2="00000000" w:usb3="00000000" w:csb0="0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Style w:val="93"/>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p>
    <w:pPr>
      <w:pStyle w:val="8"/>
      <w:ind w:right="360"/>
      <w:rPr>
        <w:rStyle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margin" w:hAnchor="text" w:xAlign="right" w:y="1"/>
      <w:rPr>
        <w:rStyle w:val="93"/>
      </w:rPr>
    </w:pPr>
  </w:p>
  <w:p>
    <w:pPr>
      <w:pStyle w:val="8"/>
      <w:ind w:right="360"/>
      <w:rPr>
        <w:rStyle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Style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9ACA37"/>
    <w:multiLevelType w:val="singleLevel"/>
    <w:tmpl w:val="D59ACA37"/>
    <w:lvl w:ilvl="0" w:tentative="0">
      <w:start w:val="1"/>
      <w:numFmt w:val="decimalEnclosedCircleChinese"/>
      <w:suff w:val="nothing"/>
      <w:lvlText w:val="%1、"/>
      <w:lvlJc w:val="left"/>
      <w:rPr>
        <w:rFonts w:hint="eastAsia"/>
      </w:rPr>
    </w:lvl>
  </w:abstractNum>
  <w:abstractNum w:abstractNumId="1">
    <w:nsid w:val="048D3103"/>
    <w:multiLevelType w:val="singleLevel"/>
    <w:tmpl w:val="048D3103"/>
    <w:lvl w:ilvl="0" w:tentative="0">
      <w:start w:val="1"/>
      <w:numFmt w:val="decimal"/>
      <w:suff w:val="nothing"/>
      <w:lvlText w:val="%1、"/>
      <w:lvlJc w:val="left"/>
    </w:lvl>
  </w:abstractNum>
  <w:abstractNum w:abstractNumId="2">
    <w:nsid w:val="06784D56"/>
    <w:multiLevelType w:val="singleLevel"/>
    <w:tmpl w:val="06784D56"/>
    <w:lvl w:ilvl="0" w:tentative="0">
      <w:start w:val="1"/>
      <w:numFmt w:val="upperLetter"/>
      <w:pStyle w:val="173"/>
      <w:lvlText w:val="附录%1."/>
      <w:lvlJc w:val="left"/>
      <w:pPr>
        <w:widowControl/>
        <w:tabs>
          <w:tab w:val="left" w:pos="907"/>
        </w:tabs>
        <w:ind w:left="907" w:hanging="907"/>
        <w:textAlignment w:val="baseline"/>
      </w:pPr>
    </w:lvl>
  </w:abstractNum>
  <w:abstractNum w:abstractNumId="3">
    <w:nsid w:val="29BA0DA4"/>
    <w:multiLevelType w:val="multilevel"/>
    <w:tmpl w:val="29BA0DA4"/>
    <w:lvl w:ilvl="0" w:tentative="0">
      <w:start w:val="1"/>
      <w:numFmt w:val="decimal"/>
      <w:lvlText w:val="%1）"/>
      <w:lvlJc w:val="left"/>
      <w:pPr>
        <w:ind w:left="1266" w:hanging="84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
    <w:nsid w:val="2AE00358"/>
    <w:multiLevelType w:val="multilevel"/>
    <w:tmpl w:val="2AE00358"/>
    <w:lvl w:ilvl="0" w:tentative="0">
      <w:start w:val="1"/>
      <w:numFmt w:val="chineseCountingThousand"/>
      <w:lvlText w:val="第%1条"/>
      <w:lvlJc w:val="left"/>
      <w:pPr>
        <w:ind w:left="1555" w:hanging="420"/>
      </w:pPr>
      <w:rPr>
        <w:rFonts w:hint="default" w:ascii="Garamond" w:hAnsi="Garamond" w:eastAsia="仿宋"/>
        <w:b/>
        <w:i w:val="0"/>
      </w:rPr>
    </w:lvl>
    <w:lvl w:ilvl="1" w:tentative="0">
      <w:start w:val="1"/>
      <w:numFmt w:val="decimal"/>
      <w:lvlText w:val="%2）"/>
      <w:lvlJc w:val="left"/>
      <w:pPr>
        <w:ind w:left="1713"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5">
    <w:nsid w:val="420C153B"/>
    <w:multiLevelType w:val="multilevel"/>
    <w:tmpl w:val="420C153B"/>
    <w:lvl w:ilvl="0" w:tentative="0">
      <w:start w:val="1"/>
      <w:numFmt w:val="decimal"/>
      <w:pStyle w:val="190"/>
      <w:lvlText w:val="%1."/>
      <w:lvlJc w:val="left"/>
      <w:pPr>
        <w:widowControl/>
        <w:tabs>
          <w:tab w:val="left" w:pos="709"/>
        </w:tabs>
        <w:ind w:left="709" w:hanging="709"/>
        <w:textAlignment w:val="baseline"/>
      </w:pPr>
    </w:lvl>
    <w:lvl w:ilvl="1" w:tentative="0">
      <w:start w:val="1"/>
      <w:numFmt w:val="decimal"/>
      <w:lvlText w:val="%1.%2"/>
      <w:lvlJc w:val="left"/>
      <w:pPr>
        <w:widowControl/>
        <w:tabs>
          <w:tab w:val="left" w:pos="709"/>
        </w:tabs>
        <w:ind w:left="709" w:hanging="709"/>
        <w:textAlignment w:val="baseline"/>
      </w:pPr>
    </w:lvl>
    <w:lvl w:ilvl="2" w:tentative="0">
      <w:start w:val="1"/>
      <w:numFmt w:val="decimal"/>
      <w:lvlText w:val="%1.%2.%3."/>
      <w:lvlJc w:val="left"/>
      <w:pPr>
        <w:widowControl/>
        <w:tabs>
          <w:tab w:val="left" w:pos="425"/>
        </w:tabs>
        <w:ind w:left="425" w:hanging="425"/>
        <w:textAlignment w:val="baseline"/>
      </w:pPr>
    </w:lvl>
    <w:lvl w:ilvl="3" w:tentative="0">
      <w:start w:val="1"/>
      <w:numFmt w:val="decimal"/>
      <w:lvlText w:val="%1.%2.%3.%4."/>
      <w:lvlJc w:val="left"/>
      <w:pPr>
        <w:widowControl/>
        <w:tabs>
          <w:tab w:val="left" w:pos="851"/>
        </w:tabs>
        <w:ind w:left="851" w:hanging="851"/>
        <w:textAlignment w:val="baseline"/>
      </w:pPr>
    </w:lvl>
    <w:lvl w:ilvl="4" w:tentative="0">
      <w:start w:val="1"/>
      <w:numFmt w:val="decimal"/>
      <w:lvlText w:val="%1.%2.%3.%4.%5."/>
      <w:lvlJc w:val="left"/>
      <w:pPr>
        <w:widowControl/>
        <w:tabs>
          <w:tab w:val="left" w:pos="992"/>
        </w:tabs>
        <w:ind w:left="992" w:hanging="992"/>
        <w:textAlignment w:val="baseline"/>
      </w:pPr>
    </w:lvl>
    <w:lvl w:ilvl="5" w:tentative="0">
      <w:start w:val="1"/>
      <w:numFmt w:val="decimal"/>
      <w:lvlText w:val="%1.%2.%3.%4.%5.%6."/>
      <w:lvlJc w:val="left"/>
      <w:pPr>
        <w:widowControl/>
        <w:tabs>
          <w:tab w:val="left" w:pos="1134"/>
        </w:tabs>
        <w:ind w:left="1134" w:hanging="1134"/>
        <w:textAlignment w:val="baseline"/>
      </w:pPr>
    </w:lvl>
    <w:lvl w:ilvl="6" w:tentative="0">
      <w:start w:val="1"/>
      <w:numFmt w:val="decimal"/>
      <w:lvlText w:val="%1.%2.%3.%4.%5.%6.%7."/>
      <w:lvlJc w:val="left"/>
      <w:pPr>
        <w:widowControl/>
        <w:tabs>
          <w:tab w:val="left" w:pos="1276"/>
        </w:tabs>
        <w:ind w:left="1276" w:hanging="1276"/>
        <w:textAlignment w:val="baseline"/>
      </w:pPr>
    </w:lvl>
    <w:lvl w:ilvl="7" w:tentative="0">
      <w:start w:val="1"/>
      <w:numFmt w:val="decimal"/>
      <w:lvlText w:val="%1.%2.%3.%4.%5.%6.%7.%8."/>
      <w:lvlJc w:val="left"/>
      <w:pPr>
        <w:widowControl/>
        <w:tabs>
          <w:tab w:val="left" w:pos="1418"/>
        </w:tabs>
        <w:ind w:left="1418" w:hanging="1418"/>
        <w:textAlignment w:val="baseline"/>
      </w:pPr>
    </w:lvl>
    <w:lvl w:ilvl="8" w:tentative="0">
      <w:start w:val="1"/>
      <w:numFmt w:val="decimal"/>
      <w:lvlText w:val="%1.%2.%3.%4.%5.%6.%7.%8.%9."/>
      <w:lvlJc w:val="left"/>
      <w:pPr>
        <w:widowControl/>
        <w:tabs>
          <w:tab w:val="left" w:pos="1559"/>
        </w:tabs>
        <w:ind w:left="1559" w:hanging="1559"/>
        <w:textAlignment w:val="baseline"/>
      </w:pPr>
    </w:lvl>
  </w:abstractNum>
  <w:abstractNum w:abstractNumId="6">
    <w:nsid w:val="462A7C05"/>
    <w:multiLevelType w:val="multilevel"/>
    <w:tmpl w:val="462A7C05"/>
    <w:lvl w:ilvl="0" w:tentative="0">
      <w:start w:val="1"/>
      <w:numFmt w:val="japaneseCounting"/>
      <w:lvlText w:val="%1、"/>
      <w:lvlJc w:val="left"/>
      <w:pPr>
        <w:ind w:left="920" w:hanging="720"/>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7">
    <w:nsid w:val="5C7E0EE5"/>
    <w:multiLevelType w:val="multilevel"/>
    <w:tmpl w:val="5C7E0EE5"/>
    <w:lvl w:ilvl="0" w:tentative="0">
      <w:start w:val="1"/>
      <w:numFmt w:val="chineseCountingThousand"/>
      <w:suff w:val="nothing"/>
      <w:lvlText w:val="第%1章 "/>
      <w:lvlJc w:val="left"/>
      <w:pPr>
        <w:widowControl/>
        <w:ind w:left="0" w:firstLine="0"/>
        <w:textAlignment w:val="baseline"/>
      </w:pPr>
    </w:lvl>
    <w:lvl w:ilvl="1" w:tentative="0">
      <w:start w:val="1"/>
      <w:numFmt w:val="decimal"/>
      <w:suff w:val="nothing"/>
      <w:lvlText w:val="%1、"/>
      <w:lvlJc w:val="left"/>
      <w:pPr>
        <w:widowControl/>
        <w:ind w:left="0" w:firstLine="0"/>
        <w:textAlignment w:val="baseline"/>
      </w:pPr>
    </w:lvl>
    <w:lvl w:ilvl="2" w:tentative="0">
      <w:start w:val="1"/>
      <w:numFmt w:val="decimal"/>
      <w:suff w:val="nothing"/>
      <w:lvlText w:val="%1.%2 "/>
      <w:lvlJc w:val="left"/>
      <w:pPr>
        <w:widowControl/>
        <w:ind w:left="0" w:firstLine="0"/>
        <w:textAlignment w:val="baseline"/>
      </w:pPr>
    </w:lvl>
    <w:lvl w:ilvl="3" w:tentative="0">
      <w:start w:val="1"/>
      <w:numFmt w:val="decimal"/>
      <w:suff w:val="nothing"/>
      <w:lvlText w:val="%1.%2.%3 "/>
      <w:lvlJc w:val="left"/>
      <w:pPr>
        <w:widowControl/>
        <w:ind w:left="0" w:firstLine="0"/>
        <w:textAlignment w:val="baseline"/>
      </w:pPr>
    </w:lvl>
    <w:lvl w:ilvl="4" w:tentative="0">
      <w:start w:val="1"/>
      <w:numFmt w:val="decimal"/>
      <w:suff w:val="nothing"/>
      <w:lvlText w:val="%1.%2.%3.%4 "/>
      <w:lvlJc w:val="left"/>
      <w:pPr>
        <w:widowControl/>
        <w:ind w:left="0" w:firstLine="0"/>
        <w:textAlignment w:val="baseline"/>
      </w:pPr>
    </w:lvl>
    <w:lvl w:ilvl="5" w:tentative="0">
      <w:start w:val="1"/>
      <w:numFmt w:val="decimal"/>
      <w:pStyle w:val="28"/>
      <w:suff w:val="nothing"/>
      <w:lvlText w:val=""/>
      <w:lvlJc w:val="left"/>
      <w:pPr>
        <w:widowControl/>
        <w:ind w:left="0" w:firstLine="0"/>
        <w:textAlignment w:val="baseline"/>
      </w:pPr>
    </w:lvl>
    <w:lvl w:ilvl="6" w:tentative="0">
      <w:start w:val="1"/>
      <w:numFmt w:val="decimal"/>
      <w:pStyle w:val="29"/>
      <w:suff w:val="nothing"/>
      <w:lvlText w:val=""/>
      <w:lvlJc w:val="left"/>
      <w:pPr>
        <w:widowControl/>
        <w:ind w:left="0" w:firstLine="0"/>
        <w:textAlignment w:val="baseline"/>
      </w:pPr>
    </w:lvl>
    <w:lvl w:ilvl="7" w:tentative="0">
      <w:start w:val="1"/>
      <w:numFmt w:val="decimal"/>
      <w:pStyle w:val="30"/>
      <w:suff w:val="nothing"/>
      <w:lvlText w:val=""/>
      <w:lvlJc w:val="left"/>
      <w:pPr>
        <w:widowControl/>
        <w:ind w:left="0" w:firstLine="0"/>
        <w:textAlignment w:val="baseline"/>
      </w:pPr>
    </w:lvl>
    <w:lvl w:ilvl="8" w:tentative="0">
      <w:start w:val="1"/>
      <w:numFmt w:val="decimal"/>
      <w:pStyle w:val="31"/>
      <w:suff w:val="nothing"/>
      <w:lvlText w:val=""/>
      <w:lvlJc w:val="left"/>
      <w:pPr>
        <w:widowControl/>
        <w:ind w:left="0" w:firstLine="0"/>
        <w:textAlignment w:val="baseline"/>
      </w:pPr>
    </w:lvl>
  </w:abstractNum>
  <w:abstractNum w:abstractNumId="8">
    <w:nsid w:val="62E36A5D"/>
    <w:multiLevelType w:val="multilevel"/>
    <w:tmpl w:val="62E36A5D"/>
    <w:lvl w:ilvl="0" w:tentative="0">
      <w:start w:val="1"/>
      <w:numFmt w:val="decimal"/>
      <w:lvlText w:val="%1、"/>
      <w:lvlJc w:val="left"/>
      <w:pPr>
        <w:widowControl/>
        <w:ind w:left="360" w:hanging="360"/>
        <w:textAlignment w:val="baseline"/>
      </w:p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9">
    <w:nsid w:val="6FBA05F3"/>
    <w:multiLevelType w:val="singleLevel"/>
    <w:tmpl w:val="6FBA05F3"/>
    <w:lvl w:ilvl="0" w:tentative="0">
      <w:start w:val="1"/>
      <w:numFmt w:val="japaneseCounting"/>
      <w:lvlText w:val="第%1章"/>
      <w:lvlJc w:val="left"/>
      <w:pPr>
        <w:widowControl/>
        <w:tabs>
          <w:tab w:val="left" w:pos="1440"/>
        </w:tabs>
        <w:ind w:left="1440" w:hanging="1440"/>
        <w:textAlignment w:val="baseline"/>
      </w:pPr>
      <w:rPr>
        <w:rFonts w:ascii="黑体" w:eastAsia="黑体"/>
        <w:b w:val="0"/>
        <w:sz w:val="28"/>
        <w:lang w:val="en-US"/>
      </w:rPr>
    </w:lvl>
  </w:abstractNum>
  <w:abstractNum w:abstractNumId="10">
    <w:nsid w:val="70AD4845"/>
    <w:multiLevelType w:val="singleLevel"/>
    <w:tmpl w:val="70AD4845"/>
    <w:lvl w:ilvl="0" w:tentative="0">
      <w:start w:val="10"/>
      <w:numFmt w:val="decimal"/>
      <w:suff w:val="nothing"/>
      <w:lvlText w:val="（%1）"/>
      <w:lvlJc w:val="left"/>
    </w:lvl>
  </w:abstractNum>
  <w:abstractNum w:abstractNumId="11">
    <w:nsid w:val="7E3E9130"/>
    <w:multiLevelType w:val="singleLevel"/>
    <w:tmpl w:val="7E3E9130"/>
    <w:lvl w:ilvl="0" w:tentative="0">
      <w:start w:val="12"/>
      <w:numFmt w:val="chineseCounting"/>
      <w:suff w:val="nothing"/>
      <w:lvlText w:val="%1、"/>
      <w:lvlJc w:val="left"/>
      <w:pPr>
        <w:widowControl/>
        <w:textAlignment w:val="baseline"/>
      </w:pPr>
    </w:lvl>
  </w:abstractNum>
  <w:num w:numId="1">
    <w:abstractNumId w:val="7"/>
  </w:num>
  <w:num w:numId="2">
    <w:abstractNumId w:val="2"/>
  </w:num>
  <w:num w:numId="3">
    <w:abstractNumId w:val="5"/>
  </w:num>
  <w:num w:numId="4">
    <w:abstractNumId w:val="9"/>
  </w:num>
  <w:num w:numId="5">
    <w:abstractNumId w:val="10"/>
  </w:num>
  <w:num w:numId="6">
    <w:abstractNumId w:val="0"/>
  </w:num>
  <w:num w:numId="7">
    <w:abstractNumId w:val="1"/>
  </w:num>
  <w:num w:numId="8">
    <w:abstractNumId w:val="1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embedSystemFonts/>
  <w:mirrorMargins w:val="1"/>
  <w:bordersDoNotSurroundHeader w:val="0"/>
  <w:bordersDoNotSurroundFooter w:val="0"/>
  <w:documentProtection w:enforcement="0"/>
  <w:defaultTabStop w:val="425"/>
  <w:displayHorizontalDrawingGridEvery w:val="1"/>
  <w:displayVerticalDrawingGridEvery w:val="1"/>
  <w:doNotUseMarginsForDrawingGridOrigin w:val="1"/>
  <w:drawingGridHorizontalOrigin w:val="1800"/>
  <w:drawingGridVerticalOrigin w:val="1440"/>
  <w:noPunctuationKerning w:val="1"/>
  <w:characterSpacingControl w:val="doNotCompress"/>
  <w:hdrShapeDefaults>
    <o:shapelayout v:ext="edit">
      <o:idmap v:ext="edit" data="3,4"/>
    </o:shapelayout>
  </w:hdrShapeDefaults>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D7"/>
    <w:rsid w:val="00033833"/>
    <w:rsid w:val="000954D6"/>
    <w:rsid w:val="001E0649"/>
    <w:rsid w:val="00202CA0"/>
    <w:rsid w:val="00204979"/>
    <w:rsid w:val="0025624A"/>
    <w:rsid w:val="00265204"/>
    <w:rsid w:val="00276E4D"/>
    <w:rsid w:val="002E2EBB"/>
    <w:rsid w:val="002F4011"/>
    <w:rsid w:val="00371826"/>
    <w:rsid w:val="00391FAC"/>
    <w:rsid w:val="004011D7"/>
    <w:rsid w:val="00416584"/>
    <w:rsid w:val="00434BCA"/>
    <w:rsid w:val="00436274"/>
    <w:rsid w:val="004413F1"/>
    <w:rsid w:val="004B32D7"/>
    <w:rsid w:val="004D215E"/>
    <w:rsid w:val="005005A9"/>
    <w:rsid w:val="005B10E5"/>
    <w:rsid w:val="005B58FA"/>
    <w:rsid w:val="0062687D"/>
    <w:rsid w:val="006335DC"/>
    <w:rsid w:val="00657963"/>
    <w:rsid w:val="006606B9"/>
    <w:rsid w:val="006E04C5"/>
    <w:rsid w:val="00710812"/>
    <w:rsid w:val="00727509"/>
    <w:rsid w:val="0075369D"/>
    <w:rsid w:val="007571FC"/>
    <w:rsid w:val="007760B3"/>
    <w:rsid w:val="008524AB"/>
    <w:rsid w:val="008948B2"/>
    <w:rsid w:val="008F02D7"/>
    <w:rsid w:val="008F0BA1"/>
    <w:rsid w:val="008F1751"/>
    <w:rsid w:val="00912FAF"/>
    <w:rsid w:val="00941054"/>
    <w:rsid w:val="009A2CA8"/>
    <w:rsid w:val="009A2D1D"/>
    <w:rsid w:val="009B253B"/>
    <w:rsid w:val="009F325E"/>
    <w:rsid w:val="009F4FE5"/>
    <w:rsid w:val="00A37342"/>
    <w:rsid w:val="00A46A0E"/>
    <w:rsid w:val="00AA0E74"/>
    <w:rsid w:val="00AE58E8"/>
    <w:rsid w:val="00B42DB4"/>
    <w:rsid w:val="00B555B6"/>
    <w:rsid w:val="00B72D03"/>
    <w:rsid w:val="00B767BA"/>
    <w:rsid w:val="00BA63A5"/>
    <w:rsid w:val="00BB2E78"/>
    <w:rsid w:val="00C52C0E"/>
    <w:rsid w:val="00C53797"/>
    <w:rsid w:val="00C602FD"/>
    <w:rsid w:val="00CA5AA9"/>
    <w:rsid w:val="00CB02C5"/>
    <w:rsid w:val="00CE08E5"/>
    <w:rsid w:val="00CE3341"/>
    <w:rsid w:val="00D07426"/>
    <w:rsid w:val="00DC4C5E"/>
    <w:rsid w:val="00DD20D9"/>
    <w:rsid w:val="00DE327B"/>
    <w:rsid w:val="00DF091C"/>
    <w:rsid w:val="00E06451"/>
    <w:rsid w:val="00E40449"/>
    <w:rsid w:val="00E627AF"/>
    <w:rsid w:val="00E74614"/>
    <w:rsid w:val="00E751B5"/>
    <w:rsid w:val="00E83D1C"/>
    <w:rsid w:val="00F515CB"/>
    <w:rsid w:val="00FB62F6"/>
    <w:rsid w:val="00FF07A2"/>
    <w:rsid w:val="02704564"/>
    <w:rsid w:val="06051961"/>
    <w:rsid w:val="06214734"/>
    <w:rsid w:val="06402FD2"/>
    <w:rsid w:val="08772BBD"/>
    <w:rsid w:val="08A823FE"/>
    <w:rsid w:val="0AE15404"/>
    <w:rsid w:val="0E550A9F"/>
    <w:rsid w:val="0ECC7407"/>
    <w:rsid w:val="0EDE2F82"/>
    <w:rsid w:val="107F0702"/>
    <w:rsid w:val="116322B0"/>
    <w:rsid w:val="13204102"/>
    <w:rsid w:val="15A01CA0"/>
    <w:rsid w:val="15F002FA"/>
    <w:rsid w:val="165836AB"/>
    <w:rsid w:val="1AAC1AC4"/>
    <w:rsid w:val="1C5A5409"/>
    <w:rsid w:val="1DBD6EF2"/>
    <w:rsid w:val="1FC579BB"/>
    <w:rsid w:val="206F5507"/>
    <w:rsid w:val="239A2671"/>
    <w:rsid w:val="24EF0B20"/>
    <w:rsid w:val="255A47D8"/>
    <w:rsid w:val="25B1159B"/>
    <w:rsid w:val="27157DA2"/>
    <w:rsid w:val="28512120"/>
    <w:rsid w:val="296608A2"/>
    <w:rsid w:val="2A2A6D68"/>
    <w:rsid w:val="2F341010"/>
    <w:rsid w:val="2F9F1ADE"/>
    <w:rsid w:val="30DA339E"/>
    <w:rsid w:val="31AC0F0A"/>
    <w:rsid w:val="32A86EC4"/>
    <w:rsid w:val="32BE2DF7"/>
    <w:rsid w:val="36616EFA"/>
    <w:rsid w:val="36C271C9"/>
    <w:rsid w:val="3712094F"/>
    <w:rsid w:val="386711AE"/>
    <w:rsid w:val="38B22805"/>
    <w:rsid w:val="39564DFF"/>
    <w:rsid w:val="39664DF9"/>
    <w:rsid w:val="3A151F4B"/>
    <w:rsid w:val="3C4A21F4"/>
    <w:rsid w:val="3DEA4259"/>
    <w:rsid w:val="3E0059F0"/>
    <w:rsid w:val="3F3C7D44"/>
    <w:rsid w:val="3F6A475A"/>
    <w:rsid w:val="409176E4"/>
    <w:rsid w:val="418B1F1D"/>
    <w:rsid w:val="42A1555A"/>
    <w:rsid w:val="434A569B"/>
    <w:rsid w:val="44D4123E"/>
    <w:rsid w:val="45E02792"/>
    <w:rsid w:val="46401E6F"/>
    <w:rsid w:val="481B5910"/>
    <w:rsid w:val="4CE07D9E"/>
    <w:rsid w:val="4D141621"/>
    <w:rsid w:val="4EFC083F"/>
    <w:rsid w:val="4F6214C5"/>
    <w:rsid w:val="4FD67B10"/>
    <w:rsid w:val="51275620"/>
    <w:rsid w:val="52BE7E2F"/>
    <w:rsid w:val="540C364E"/>
    <w:rsid w:val="554E5124"/>
    <w:rsid w:val="55CF529B"/>
    <w:rsid w:val="568F1D99"/>
    <w:rsid w:val="578B4FFB"/>
    <w:rsid w:val="58256DD3"/>
    <w:rsid w:val="5A441678"/>
    <w:rsid w:val="5AB54C4C"/>
    <w:rsid w:val="624614B2"/>
    <w:rsid w:val="62640E71"/>
    <w:rsid w:val="627E0A08"/>
    <w:rsid w:val="628D22E5"/>
    <w:rsid w:val="645B4A0C"/>
    <w:rsid w:val="68EE20DD"/>
    <w:rsid w:val="690101D6"/>
    <w:rsid w:val="6A1A2320"/>
    <w:rsid w:val="6A6568FF"/>
    <w:rsid w:val="6AEC232C"/>
    <w:rsid w:val="6F2F5329"/>
    <w:rsid w:val="6FA22A84"/>
    <w:rsid w:val="70DA4479"/>
    <w:rsid w:val="71FB138D"/>
    <w:rsid w:val="75973641"/>
    <w:rsid w:val="78C7050F"/>
    <w:rsid w:val="7AE20D5A"/>
    <w:rsid w:val="7B610D42"/>
    <w:rsid w:val="7BFE3152"/>
    <w:rsid w:val="7D736503"/>
    <w:rsid w:val="7E4475DE"/>
    <w:rsid w:val="7EA75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3">
    <w:name w:val="heading 4"/>
    <w:basedOn w:val="1"/>
    <w:next w:val="1"/>
    <w:qFormat/>
    <w:uiPriority w:val="99"/>
    <w:pPr>
      <w:keepNext/>
      <w:keepLines/>
      <w:spacing w:before="280" w:after="290" w:line="376" w:lineRule="auto"/>
      <w:outlineLvl w:val="3"/>
    </w:pPr>
    <w:rPr>
      <w:rFonts w:ascii="Arial" w:hAnsi="Arial" w:eastAsia="黑体"/>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left="765"/>
    </w:pPr>
    <w:rPr>
      <w:rFonts w:ascii="仿宋_GB2312" w:eastAsia="仿宋_GB2312"/>
      <w:kern w:val="0"/>
      <w:sz w:val="28"/>
      <w:szCs w:val="20"/>
    </w:rPr>
  </w:style>
  <w:style w:type="paragraph" w:styleId="4">
    <w:name w:val="caption"/>
    <w:basedOn w:val="1"/>
    <w:next w:val="1"/>
    <w:qFormat/>
    <w:uiPriority w:val="0"/>
    <w:rPr>
      <w:rFonts w:ascii="Cambria" w:hAnsi="Cambria" w:eastAsia="黑体"/>
      <w:sz w:val="20"/>
      <w:szCs w:val="20"/>
    </w:rPr>
  </w:style>
  <w:style w:type="paragraph" w:styleId="5">
    <w:name w:val="annotation text"/>
    <w:basedOn w:val="1"/>
    <w:semiHidden/>
    <w:unhideWhenUsed/>
    <w:qFormat/>
    <w:uiPriority w:val="0"/>
    <w:pPr>
      <w:jc w:val="left"/>
    </w:pPr>
  </w:style>
  <w:style w:type="paragraph" w:styleId="6">
    <w:name w:val="Date"/>
    <w:basedOn w:val="1"/>
    <w:next w:val="1"/>
    <w:link w:val="61"/>
    <w:qFormat/>
    <w:uiPriority w:val="0"/>
    <w:rPr>
      <w:sz w:val="24"/>
      <w:szCs w:val="24"/>
    </w:rPr>
  </w:style>
  <w:style w:type="paragraph" w:styleId="7">
    <w:name w:val="Balloon Text"/>
    <w:basedOn w:val="1"/>
    <w:link w:val="213"/>
    <w:qFormat/>
    <w:uiPriority w:val="0"/>
    <w:rPr>
      <w:sz w:val="18"/>
      <w:szCs w:val="18"/>
    </w:rPr>
  </w:style>
  <w:style w:type="paragraph" w:styleId="8">
    <w:name w:val="footer"/>
    <w:basedOn w:val="1"/>
    <w:link w:val="66"/>
    <w:qFormat/>
    <w:uiPriority w:val="99"/>
    <w:pPr>
      <w:tabs>
        <w:tab w:val="center" w:pos="4153"/>
        <w:tab w:val="right" w:pos="8306"/>
      </w:tabs>
      <w:snapToGrid w:val="0"/>
      <w:jc w:val="left"/>
    </w:pPr>
    <w:rPr>
      <w:sz w:val="18"/>
      <w:szCs w:val="18"/>
    </w:rPr>
  </w:style>
  <w:style w:type="paragraph" w:styleId="9">
    <w:name w:val="header"/>
    <w:basedOn w:val="1"/>
    <w:link w:val="67"/>
    <w:qFormat/>
    <w:uiPriority w:val="99"/>
    <w:pPr>
      <w:pBdr>
        <w:bottom w:val="single" w:color="000000" w:sz="6" w:space="1"/>
      </w:pBdr>
      <w:tabs>
        <w:tab w:val="center" w:pos="4153"/>
        <w:tab w:val="right" w:pos="8306"/>
      </w:tabs>
      <w:snapToGrid w:val="0"/>
      <w:jc w:val="center"/>
    </w:pPr>
    <w:rPr>
      <w:sz w:val="18"/>
      <w:szCs w:val="18"/>
    </w:rPr>
  </w:style>
  <w:style w:type="paragraph" w:styleId="10">
    <w:name w:val="Subtitle"/>
    <w:basedOn w:val="1"/>
    <w:next w:val="1"/>
    <w:link w:val="71"/>
    <w:qFormat/>
    <w:uiPriority w:val="0"/>
    <w:pPr>
      <w:spacing w:before="240" w:after="60" w:line="312" w:lineRule="auto"/>
      <w:jc w:val="center"/>
    </w:pPr>
    <w:rPr>
      <w:rFonts w:ascii="Cambria" w:hAnsi="Cambria" w:cs="Times New Roman"/>
      <w:b/>
      <w:bCs/>
      <w:kern w:val="28"/>
      <w:sz w:val="32"/>
      <w:szCs w:val="32"/>
    </w:rPr>
  </w:style>
  <w:style w:type="paragraph" w:styleId="11">
    <w:name w:val="List"/>
    <w:basedOn w:val="1"/>
    <w:qFormat/>
    <w:uiPriority w:val="0"/>
    <w:pPr>
      <w:ind w:left="200" w:hanging="200" w:hangingChars="200"/>
    </w:pPr>
  </w:style>
  <w:style w:type="paragraph" w:styleId="12">
    <w:name w:val="Title"/>
    <w:basedOn w:val="1"/>
    <w:link w:val="85"/>
    <w:qFormat/>
    <w:uiPriority w:val="0"/>
    <w:pPr>
      <w:spacing w:before="240" w:after="60" w:line="420" w:lineRule="atLeast"/>
      <w:jc w:val="center"/>
    </w:pPr>
    <w:rPr>
      <w:rFonts w:ascii="Arial" w:hAnsi="Arial"/>
      <w:b/>
      <w:kern w:val="0"/>
      <w:sz w:val="32"/>
      <w:szCs w:val="20"/>
    </w:rPr>
  </w:style>
  <w:style w:type="table" w:styleId="14">
    <w:name w:val="Table Grid"/>
    <w:basedOn w:val="13"/>
    <w:qFormat/>
    <w:uiPriority w:val="59"/>
    <w:rPr>
      <w:rFonts w:asciiTheme="minorHAnsi" w:hAnsiTheme="minorHAnsi"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0"/>
    <w:rPr>
      <w:rFonts w:cs="Times New Roman"/>
      <w:b/>
      <w:bCs/>
    </w:rPr>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0"/>
    <w:rPr>
      <w:color w:val="0000FF"/>
      <w:u w:val="single"/>
    </w:rPr>
  </w:style>
  <w:style w:type="character" w:styleId="20">
    <w:name w:val="annotation reference"/>
    <w:basedOn w:val="15"/>
    <w:semiHidden/>
    <w:unhideWhenUsed/>
    <w:qFormat/>
    <w:uiPriority w:val="0"/>
    <w:rPr>
      <w:sz w:val="21"/>
      <w:szCs w:val="21"/>
    </w:rPr>
  </w:style>
  <w:style w:type="paragraph" w:customStyle="1" w:styleId="21">
    <w:name w:val="BodyText"/>
    <w:basedOn w:val="1"/>
    <w:next w:val="1"/>
    <w:link w:val="34"/>
    <w:qFormat/>
    <w:uiPriority w:val="0"/>
    <w:rPr>
      <w:rFonts w:ascii="楷体_GB2312" w:hAnsi="Arial" w:eastAsia="楷体_GB2312"/>
      <w:sz w:val="28"/>
      <w:szCs w:val="28"/>
    </w:rPr>
  </w:style>
  <w:style w:type="paragraph" w:customStyle="1" w:styleId="22">
    <w:name w:val="Heading1"/>
    <w:basedOn w:val="1"/>
    <w:next w:val="1"/>
    <w:link w:val="35"/>
    <w:qFormat/>
    <w:uiPriority w:val="0"/>
    <w:pPr>
      <w:keepNext/>
      <w:jc w:val="center"/>
    </w:pPr>
    <w:rPr>
      <w:rFonts w:ascii="楷体_GB2312" w:eastAsia="楷体_GB2312"/>
      <w:sz w:val="28"/>
      <w:szCs w:val="28"/>
    </w:rPr>
  </w:style>
  <w:style w:type="paragraph" w:customStyle="1" w:styleId="23">
    <w:name w:val="Heading2"/>
    <w:basedOn w:val="1"/>
    <w:next w:val="24"/>
    <w:link w:val="36"/>
    <w:qFormat/>
    <w:uiPriority w:val="0"/>
    <w:pPr>
      <w:keepNext/>
      <w:keepLines/>
      <w:spacing w:before="260" w:after="260" w:line="416" w:lineRule="auto"/>
      <w:jc w:val="center"/>
    </w:pPr>
    <w:rPr>
      <w:rFonts w:ascii="Arial" w:hAnsi="Arial" w:eastAsia="幼圆" w:cs="Times New Roman"/>
      <w:b/>
      <w:bCs/>
      <w:sz w:val="44"/>
      <w:szCs w:val="44"/>
    </w:rPr>
  </w:style>
  <w:style w:type="paragraph" w:customStyle="1" w:styleId="24">
    <w:name w:val="NormalIndent"/>
    <w:basedOn w:val="1"/>
    <w:link w:val="37"/>
    <w:qFormat/>
    <w:uiPriority w:val="0"/>
    <w:pPr>
      <w:ind w:firstLine="420"/>
    </w:pPr>
  </w:style>
  <w:style w:type="paragraph" w:customStyle="1" w:styleId="25">
    <w:name w:val="Heading3"/>
    <w:basedOn w:val="1"/>
    <w:next w:val="24"/>
    <w:link w:val="38"/>
    <w:qFormat/>
    <w:uiPriority w:val="0"/>
    <w:pPr>
      <w:keepNext/>
      <w:keepLines/>
      <w:spacing w:before="260" w:after="260" w:line="416" w:lineRule="auto"/>
    </w:pPr>
    <w:rPr>
      <w:rFonts w:cs="Times New Roman"/>
      <w:b/>
      <w:bCs/>
      <w:sz w:val="32"/>
      <w:szCs w:val="32"/>
    </w:rPr>
  </w:style>
  <w:style w:type="paragraph" w:customStyle="1" w:styleId="26">
    <w:name w:val="Heading4"/>
    <w:basedOn w:val="1"/>
    <w:next w:val="24"/>
    <w:link w:val="39"/>
    <w:qFormat/>
    <w:uiPriority w:val="0"/>
    <w:pPr>
      <w:keepNext/>
      <w:keepLines/>
      <w:spacing w:before="280" w:after="290" w:line="376" w:lineRule="auto"/>
    </w:pPr>
    <w:rPr>
      <w:rFonts w:ascii="Arial" w:hAnsi="Arial" w:eastAsia="黑体" w:cs="Times New Roman"/>
      <w:b/>
      <w:bCs/>
      <w:sz w:val="28"/>
      <w:szCs w:val="28"/>
    </w:rPr>
  </w:style>
  <w:style w:type="paragraph" w:customStyle="1" w:styleId="27">
    <w:name w:val="Heading5"/>
    <w:basedOn w:val="1"/>
    <w:next w:val="24"/>
    <w:link w:val="40"/>
    <w:qFormat/>
    <w:uiPriority w:val="0"/>
    <w:pPr>
      <w:keepNext/>
    </w:pPr>
    <w:rPr>
      <w:rFonts w:ascii="宋体"/>
      <w:color w:val="000000"/>
      <w:kern w:val="0"/>
      <w:sz w:val="28"/>
      <w:szCs w:val="28"/>
    </w:rPr>
  </w:style>
  <w:style w:type="paragraph" w:customStyle="1" w:styleId="28">
    <w:name w:val="Heading6"/>
    <w:basedOn w:val="1"/>
    <w:next w:val="1"/>
    <w:link w:val="41"/>
    <w:qFormat/>
    <w:uiPriority w:val="0"/>
    <w:pPr>
      <w:keepNext/>
      <w:keepLines/>
      <w:numPr>
        <w:ilvl w:val="5"/>
        <w:numId w:val="1"/>
      </w:numPr>
      <w:spacing w:before="240" w:after="64" w:line="320" w:lineRule="auto"/>
    </w:pPr>
    <w:rPr>
      <w:rFonts w:ascii="Arial" w:hAnsi="Arial" w:eastAsia="黑体" w:cs="Times New Roman"/>
      <w:b/>
      <w:bCs/>
      <w:sz w:val="24"/>
      <w:szCs w:val="24"/>
    </w:rPr>
  </w:style>
  <w:style w:type="paragraph" w:customStyle="1" w:styleId="29">
    <w:name w:val="Heading7"/>
    <w:basedOn w:val="1"/>
    <w:next w:val="1"/>
    <w:link w:val="42"/>
    <w:qFormat/>
    <w:uiPriority w:val="0"/>
    <w:pPr>
      <w:keepNext/>
      <w:keepLines/>
      <w:numPr>
        <w:ilvl w:val="6"/>
        <w:numId w:val="1"/>
      </w:numPr>
      <w:spacing w:before="240" w:after="64" w:line="320" w:lineRule="auto"/>
    </w:pPr>
    <w:rPr>
      <w:rFonts w:cs="Times New Roman"/>
      <w:b/>
      <w:bCs/>
      <w:sz w:val="24"/>
      <w:szCs w:val="24"/>
    </w:rPr>
  </w:style>
  <w:style w:type="paragraph" w:customStyle="1" w:styleId="30">
    <w:name w:val="Heading8"/>
    <w:basedOn w:val="1"/>
    <w:next w:val="1"/>
    <w:link w:val="43"/>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31">
    <w:name w:val="Heading9"/>
    <w:basedOn w:val="1"/>
    <w:next w:val="1"/>
    <w:link w:val="44"/>
    <w:qFormat/>
    <w:uiPriority w:val="0"/>
    <w:pPr>
      <w:keepNext/>
      <w:keepLines/>
      <w:numPr>
        <w:ilvl w:val="8"/>
        <w:numId w:val="1"/>
      </w:numPr>
      <w:spacing w:before="240" w:after="64" w:line="320" w:lineRule="auto"/>
    </w:pPr>
    <w:rPr>
      <w:rFonts w:ascii="Arial" w:hAnsi="Arial" w:eastAsia="黑体"/>
    </w:rPr>
  </w:style>
  <w:style w:type="character" w:customStyle="1" w:styleId="32">
    <w:name w:val="NormalCharacter"/>
    <w:semiHidden/>
    <w:qFormat/>
    <w:uiPriority w:val="0"/>
  </w:style>
  <w:style w:type="table" w:customStyle="1" w:styleId="33">
    <w:name w:val="TableNormal"/>
    <w:semiHidden/>
    <w:qFormat/>
    <w:uiPriority w:val="0"/>
    <w:tblPr>
      <w:tblCellMar>
        <w:top w:w="0" w:type="dxa"/>
        <w:left w:w="0" w:type="dxa"/>
        <w:bottom w:w="0" w:type="dxa"/>
        <w:right w:w="0" w:type="dxa"/>
      </w:tblCellMar>
    </w:tblPr>
  </w:style>
  <w:style w:type="character" w:customStyle="1" w:styleId="34">
    <w:name w:val="UserStyle_0"/>
    <w:link w:val="21"/>
    <w:qFormat/>
    <w:uiPriority w:val="0"/>
    <w:rPr>
      <w:rFonts w:ascii="楷体_GB2312" w:hAnsi="Arial" w:eastAsia="楷体_GB2312"/>
      <w:kern w:val="2"/>
      <w:sz w:val="28"/>
      <w:szCs w:val="28"/>
    </w:rPr>
  </w:style>
  <w:style w:type="character" w:customStyle="1" w:styleId="35">
    <w:name w:val="UserStyle_1"/>
    <w:link w:val="22"/>
    <w:qFormat/>
    <w:uiPriority w:val="0"/>
    <w:rPr>
      <w:rFonts w:ascii="楷体_GB2312" w:eastAsia="楷体_GB2312"/>
      <w:kern w:val="2"/>
      <w:sz w:val="28"/>
      <w:szCs w:val="28"/>
    </w:rPr>
  </w:style>
  <w:style w:type="character" w:customStyle="1" w:styleId="36">
    <w:name w:val="UserStyle_2"/>
    <w:link w:val="23"/>
    <w:qFormat/>
    <w:uiPriority w:val="0"/>
    <w:rPr>
      <w:rFonts w:ascii="Arial" w:hAnsi="Arial" w:eastAsia="幼圆" w:cs="Arial"/>
      <w:b/>
      <w:bCs/>
      <w:kern w:val="2"/>
      <w:sz w:val="44"/>
      <w:szCs w:val="44"/>
    </w:rPr>
  </w:style>
  <w:style w:type="character" w:customStyle="1" w:styleId="37">
    <w:name w:val="UserStyle_3"/>
    <w:link w:val="24"/>
    <w:qFormat/>
    <w:uiPriority w:val="0"/>
    <w:rPr>
      <w:kern w:val="2"/>
      <w:sz w:val="21"/>
      <w:szCs w:val="21"/>
    </w:rPr>
  </w:style>
  <w:style w:type="character" w:customStyle="1" w:styleId="38">
    <w:name w:val="UserStyle_4"/>
    <w:link w:val="25"/>
    <w:qFormat/>
    <w:uiPriority w:val="0"/>
    <w:rPr>
      <w:rFonts w:cs="Times New Roman"/>
      <w:b/>
      <w:bCs/>
      <w:kern w:val="2"/>
      <w:sz w:val="32"/>
      <w:szCs w:val="32"/>
    </w:rPr>
  </w:style>
  <w:style w:type="character" w:customStyle="1" w:styleId="39">
    <w:name w:val="UserStyle_5"/>
    <w:link w:val="26"/>
    <w:qFormat/>
    <w:uiPriority w:val="0"/>
    <w:rPr>
      <w:rFonts w:ascii="Arial" w:hAnsi="Arial" w:eastAsia="黑体" w:cs="Arial"/>
      <w:b/>
      <w:bCs/>
      <w:kern w:val="2"/>
      <w:sz w:val="28"/>
      <w:szCs w:val="28"/>
    </w:rPr>
  </w:style>
  <w:style w:type="character" w:customStyle="1" w:styleId="40">
    <w:name w:val="UserStyle_6"/>
    <w:link w:val="27"/>
    <w:qFormat/>
    <w:uiPriority w:val="0"/>
    <w:rPr>
      <w:rFonts w:ascii="宋体"/>
      <w:color w:val="000000"/>
      <w:sz w:val="28"/>
      <w:szCs w:val="28"/>
    </w:rPr>
  </w:style>
  <w:style w:type="character" w:customStyle="1" w:styleId="41">
    <w:name w:val="UserStyle_7"/>
    <w:link w:val="28"/>
    <w:qFormat/>
    <w:uiPriority w:val="0"/>
    <w:rPr>
      <w:rFonts w:ascii="Arial" w:hAnsi="Arial" w:eastAsia="黑体" w:cs="Times New Roman"/>
      <w:b/>
      <w:bCs/>
      <w:kern w:val="2"/>
      <w:sz w:val="24"/>
      <w:szCs w:val="24"/>
    </w:rPr>
  </w:style>
  <w:style w:type="character" w:customStyle="1" w:styleId="42">
    <w:name w:val="UserStyle_8"/>
    <w:link w:val="29"/>
    <w:qFormat/>
    <w:uiPriority w:val="0"/>
    <w:rPr>
      <w:rFonts w:cs="Times New Roman"/>
      <w:b/>
      <w:bCs/>
      <w:kern w:val="2"/>
      <w:sz w:val="24"/>
      <w:szCs w:val="24"/>
    </w:rPr>
  </w:style>
  <w:style w:type="character" w:customStyle="1" w:styleId="43">
    <w:name w:val="UserStyle_9"/>
    <w:link w:val="30"/>
    <w:qFormat/>
    <w:uiPriority w:val="0"/>
    <w:rPr>
      <w:rFonts w:ascii="Arial" w:hAnsi="Arial" w:eastAsia="黑体"/>
      <w:kern w:val="2"/>
      <w:sz w:val="24"/>
      <w:szCs w:val="24"/>
    </w:rPr>
  </w:style>
  <w:style w:type="character" w:customStyle="1" w:styleId="44">
    <w:name w:val="UserStyle_10"/>
    <w:link w:val="31"/>
    <w:qFormat/>
    <w:uiPriority w:val="0"/>
    <w:rPr>
      <w:rFonts w:ascii="Arial" w:hAnsi="Arial" w:eastAsia="黑体"/>
      <w:kern w:val="2"/>
      <w:sz w:val="21"/>
      <w:szCs w:val="21"/>
    </w:rPr>
  </w:style>
  <w:style w:type="paragraph" w:customStyle="1" w:styleId="45">
    <w:name w:val="List3"/>
    <w:basedOn w:val="1"/>
    <w:qFormat/>
    <w:uiPriority w:val="0"/>
    <w:pPr>
      <w:ind w:left="100" w:leftChars="400" w:hanging="200" w:hangingChars="200"/>
    </w:pPr>
  </w:style>
  <w:style w:type="paragraph" w:customStyle="1" w:styleId="46">
    <w:name w:val="TOC7"/>
    <w:basedOn w:val="1"/>
    <w:next w:val="1"/>
    <w:qFormat/>
    <w:uiPriority w:val="0"/>
    <w:pPr>
      <w:ind w:left="1260"/>
      <w:jc w:val="left"/>
    </w:pPr>
  </w:style>
  <w:style w:type="paragraph" w:customStyle="1" w:styleId="47">
    <w:name w:val="NavPane"/>
    <w:basedOn w:val="1"/>
    <w:link w:val="48"/>
    <w:qFormat/>
    <w:uiPriority w:val="0"/>
    <w:pPr>
      <w:shd w:val="clear" w:color="auto" w:fill="000080"/>
    </w:pPr>
  </w:style>
  <w:style w:type="character" w:customStyle="1" w:styleId="48">
    <w:name w:val="UserStyle_11"/>
    <w:link w:val="47"/>
    <w:qFormat/>
    <w:uiPriority w:val="0"/>
    <w:rPr>
      <w:kern w:val="2"/>
      <w:sz w:val="21"/>
      <w:szCs w:val="21"/>
      <w:shd w:val="clear" w:color="auto" w:fill="000080"/>
    </w:rPr>
  </w:style>
  <w:style w:type="paragraph" w:customStyle="1" w:styleId="49">
    <w:name w:val="AnnotationText"/>
    <w:basedOn w:val="1"/>
    <w:link w:val="50"/>
    <w:qFormat/>
    <w:uiPriority w:val="0"/>
    <w:pPr>
      <w:jc w:val="left"/>
    </w:pPr>
  </w:style>
  <w:style w:type="character" w:customStyle="1" w:styleId="50">
    <w:name w:val="UserStyle_12"/>
    <w:link w:val="49"/>
    <w:qFormat/>
    <w:uiPriority w:val="0"/>
    <w:rPr>
      <w:kern w:val="2"/>
      <w:sz w:val="21"/>
      <w:szCs w:val="21"/>
    </w:rPr>
  </w:style>
  <w:style w:type="paragraph" w:customStyle="1" w:styleId="51">
    <w:name w:val="BodyText3"/>
    <w:basedOn w:val="1"/>
    <w:link w:val="52"/>
    <w:qFormat/>
    <w:uiPriority w:val="0"/>
    <w:rPr>
      <w:rFonts w:ascii="仿宋_GB2312" w:hAnsi="Arial" w:eastAsia="仿宋_GB2312"/>
      <w:sz w:val="32"/>
      <w:szCs w:val="32"/>
    </w:rPr>
  </w:style>
  <w:style w:type="character" w:customStyle="1" w:styleId="52">
    <w:name w:val="UserStyle_13"/>
    <w:link w:val="51"/>
    <w:qFormat/>
    <w:uiPriority w:val="0"/>
    <w:rPr>
      <w:rFonts w:ascii="仿宋_GB2312" w:hAnsi="Arial" w:eastAsia="仿宋_GB2312"/>
      <w:kern w:val="2"/>
      <w:sz w:val="32"/>
      <w:szCs w:val="32"/>
    </w:rPr>
  </w:style>
  <w:style w:type="paragraph" w:customStyle="1" w:styleId="53">
    <w:name w:val="BodyTextIndent"/>
    <w:basedOn w:val="1"/>
    <w:link w:val="54"/>
    <w:qFormat/>
    <w:uiPriority w:val="0"/>
    <w:pPr>
      <w:ind w:firstLine="645"/>
    </w:pPr>
    <w:rPr>
      <w:rFonts w:ascii="楷体_GB2312" w:eastAsia="楷体_GB2312"/>
      <w:sz w:val="32"/>
      <w:szCs w:val="32"/>
    </w:rPr>
  </w:style>
  <w:style w:type="character" w:customStyle="1" w:styleId="54">
    <w:name w:val="UserStyle_14"/>
    <w:link w:val="53"/>
    <w:qFormat/>
    <w:uiPriority w:val="0"/>
    <w:rPr>
      <w:rFonts w:ascii="楷体_GB2312" w:eastAsia="楷体_GB2312"/>
      <w:kern w:val="2"/>
      <w:sz w:val="32"/>
      <w:szCs w:val="32"/>
    </w:rPr>
  </w:style>
  <w:style w:type="paragraph" w:customStyle="1" w:styleId="55">
    <w:name w:val="List2"/>
    <w:basedOn w:val="1"/>
    <w:qFormat/>
    <w:uiPriority w:val="0"/>
    <w:pPr>
      <w:ind w:left="100" w:leftChars="200" w:hanging="200" w:hangingChars="200"/>
    </w:pPr>
  </w:style>
  <w:style w:type="paragraph" w:customStyle="1" w:styleId="56">
    <w:name w:val="TOC5"/>
    <w:basedOn w:val="1"/>
    <w:next w:val="1"/>
    <w:qFormat/>
    <w:uiPriority w:val="0"/>
    <w:pPr>
      <w:ind w:left="840"/>
      <w:jc w:val="left"/>
    </w:pPr>
  </w:style>
  <w:style w:type="paragraph" w:customStyle="1" w:styleId="57">
    <w:name w:val="TOC3"/>
    <w:basedOn w:val="1"/>
    <w:next w:val="1"/>
    <w:qFormat/>
    <w:uiPriority w:val="0"/>
    <w:pPr>
      <w:ind w:left="420"/>
      <w:jc w:val="left"/>
    </w:pPr>
    <w:rPr>
      <w:i/>
      <w:iCs/>
      <w:szCs w:val="24"/>
    </w:rPr>
  </w:style>
  <w:style w:type="paragraph" w:customStyle="1" w:styleId="58">
    <w:name w:val="PlainText"/>
    <w:basedOn w:val="1"/>
    <w:link w:val="59"/>
    <w:qFormat/>
    <w:uiPriority w:val="0"/>
    <w:rPr>
      <w:rFonts w:ascii="宋体" w:hAnsi="Courier New"/>
    </w:rPr>
  </w:style>
  <w:style w:type="character" w:customStyle="1" w:styleId="59">
    <w:name w:val="UserStyle_15"/>
    <w:link w:val="58"/>
    <w:qFormat/>
    <w:uiPriority w:val="0"/>
    <w:rPr>
      <w:rFonts w:ascii="宋体" w:hAnsi="Courier New"/>
      <w:kern w:val="2"/>
      <w:sz w:val="21"/>
      <w:szCs w:val="21"/>
    </w:rPr>
  </w:style>
  <w:style w:type="paragraph" w:customStyle="1" w:styleId="60">
    <w:name w:val="TOC8"/>
    <w:basedOn w:val="1"/>
    <w:next w:val="1"/>
    <w:qFormat/>
    <w:uiPriority w:val="0"/>
    <w:pPr>
      <w:ind w:left="1470"/>
      <w:jc w:val="left"/>
    </w:pPr>
  </w:style>
  <w:style w:type="character" w:customStyle="1" w:styleId="61">
    <w:name w:val="日期 Char"/>
    <w:link w:val="6"/>
    <w:qFormat/>
    <w:uiPriority w:val="0"/>
    <w:rPr>
      <w:kern w:val="2"/>
      <w:sz w:val="24"/>
      <w:szCs w:val="24"/>
    </w:rPr>
  </w:style>
  <w:style w:type="paragraph" w:customStyle="1" w:styleId="62">
    <w:name w:val="BodyTextIndent2"/>
    <w:basedOn w:val="1"/>
    <w:link w:val="63"/>
    <w:qFormat/>
    <w:uiPriority w:val="0"/>
    <w:pPr>
      <w:ind w:left="630" w:firstLine="645"/>
    </w:pPr>
    <w:rPr>
      <w:rFonts w:ascii="Arial" w:hAnsi="Arial" w:eastAsia="仿宋_GB2312"/>
      <w:sz w:val="32"/>
      <w:szCs w:val="32"/>
    </w:rPr>
  </w:style>
  <w:style w:type="character" w:customStyle="1" w:styleId="63">
    <w:name w:val="UserStyle_17"/>
    <w:link w:val="62"/>
    <w:qFormat/>
    <w:uiPriority w:val="0"/>
    <w:rPr>
      <w:rFonts w:ascii="Arial" w:hAnsi="Arial" w:eastAsia="仿宋_GB2312"/>
      <w:kern w:val="2"/>
      <w:sz w:val="32"/>
      <w:szCs w:val="32"/>
    </w:rPr>
  </w:style>
  <w:style w:type="paragraph" w:customStyle="1" w:styleId="64">
    <w:name w:val="Acetate"/>
    <w:basedOn w:val="1"/>
    <w:link w:val="65"/>
    <w:qFormat/>
    <w:uiPriority w:val="0"/>
    <w:rPr>
      <w:sz w:val="18"/>
      <w:szCs w:val="18"/>
    </w:rPr>
  </w:style>
  <w:style w:type="character" w:customStyle="1" w:styleId="65">
    <w:name w:val="UserStyle_18"/>
    <w:link w:val="64"/>
    <w:qFormat/>
    <w:uiPriority w:val="0"/>
    <w:rPr>
      <w:kern w:val="2"/>
      <w:sz w:val="18"/>
      <w:szCs w:val="18"/>
    </w:rPr>
  </w:style>
  <w:style w:type="character" w:customStyle="1" w:styleId="66">
    <w:name w:val="页脚 Char"/>
    <w:link w:val="8"/>
    <w:qFormat/>
    <w:uiPriority w:val="99"/>
    <w:rPr>
      <w:kern w:val="2"/>
      <w:sz w:val="18"/>
      <w:szCs w:val="18"/>
    </w:rPr>
  </w:style>
  <w:style w:type="character" w:customStyle="1" w:styleId="67">
    <w:name w:val="页眉 Char"/>
    <w:link w:val="9"/>
    <w:qFormat/>
    <w:uiPriority w:val="99"/>
    <w:rPr>
      <w:kern w:val="2"/>
      <w:sz w:val="18"/>
      <w:szCs w:val="18"/>
    </w:rPr>
  </w:style>
  <w:style w:type="paragraph" w:customStyle="1" w:styleId="68">
    <w:name w:val="TOC1"/>
    <w:basedOn w:val="1"/>
    <w:next w:val="1"/>
    <w:qFormat/>
    <w:uiPriority w:val="0"/>
    <w:pPr>
      <w:tabs>
        <w:tab w:val="right" w:leader="dot" w:pos="8720"/>
      </w:tabs>
      <w:spacing w:before="120" w:after="120" w:line="400" w:lineRule="exact"/>
      <w:jc w:val="left"/>
    </w:pPr>
    <w:rPr>
      <w:rFonts w:ascii="宋体" w:hAnsi="宋体"/>
      <w:caps/>
      <w:sz w:val="24"/>
      <w:szCs w:val="24"/>
    </w:rPr>
  </w:style>
  <w:style w:type="paragraph" w:customStyle="1" w:styleId="69">
    <w:name w:val="TOC4"/>
    <w:basedOn w:val="1"/>
    <w:next w:val="1"/>
    <w:link w:val="70"/>
    <w:qFormat/>
    <w:uiPriority w:val="0"/>
    <w:pPr>
      <w:ind w:left="630"/>
      <w:jc w:val="left"/>
    </w:pPr>
  </w:style>
  <w:style w:type="character" w:customStyle="1" w:styleId="70">
    <w:name w:val="UserStyle_21"/>
    <w:link w:val="69"/>
    <w:qFormat/>
    <w:locked/>
    <w:uiPriority w:val="0"/>
    <w:rPr>
      <w:kern w:val="2"/>
      <w:sz w:val="21"/>
      <w:szCs w:val="21"/>
    </w:rPr>
  </w:style>
  <w:style w:type="character" w:customStyle="1" w:styleId="71">
    <w:name w:val="副标题 Char"/>
    <w:link w:val="10"/>
    <w:qFormat/>
    <w:uiPriority w:val="0"/>
    <w:rPr>
      <w:rFonts w:ascii="Cambria" w:hAnsi="Cambria" w:cs="Times New Roman"/>
      <w:b/>
      <w:bCs/>
      <w:kern w:val="28"/>
      <w:sz w:val="32"/>
      <w:szCs w:val="32"/>
    </w:rPr>
  </w:style>
  <w:style w:type="paragraph" w:customStyle="1" w:styleId="72">
    <w:name w:val="FootnoteText"/>
    <w:basedOn w:val="1"/>
    <w:link w:val="73"/>
    <w:qFormat/>
    <w:uiPriority w:val="0"/>
    <w:rPr>
      <w:sz w:val="20"/>
      <w:szCs w:val="20"/>
    </w:rPr>
  </w:style>
  <w:style w:type="character" w:customStyle="1" w:styleId="73">
    <w:name w:val="UserStyle_23"/>
    <w:link w:val="72"/>
    <w:qFormat/>
    <w:uiPriority w:val="0"/>
    <w:rPr>
      <w:kern w:val="2"/>
    </w:rPr>
  </w:style>
  <w:style w:type="paragraph" w:customStyle="1" w:styleId="74">
    <w:name w:val="TOC6"/>
    <w:basedOn w:val="1"/>
    <w:next w:val="1"/>
    <w:qFormat/>
    <w:uiPriority w:val="0"/>
    <w:pPr>
      <w:ind w:left="1050"/>
      <w:jc w:val="left"/>
    </w:pPr>
  </w:style>
  <w:style w:type="paragraph" w:customStyle="1" w:styleId="75">
    <w:name w:val="BodyTextIndent3"/>
    <w:basedOn w:val="1"/>
    <w:link w:val="76"/>
    <w:qFormat/>
    <w:uiPriority w:val="0"/>
    <w:pPr>
      <w:ind w:left="645" w:firstLine="645"/>
    </w:pPr>
    <w:rPr>
      <w:rFonts w:ascii="Arial" w:hAnsi="Arial" w:eastAsia="仿宋_GB2312"/>
      <w:color w:val="FFFF00"/>
      <w:sz w:val="32"/>
      <w:szCs w:val="32"/>
    </w:rPr>
  </w:style>
  <w:style w:type="character" w:customStyle="1" w:styleId="76">
    <w:name w:val="UserStyle_24"/>
    <w:link w:val="75"/>
    <w:qFormat/>
    <w:uiPriority w:val="0"/>
    <w:rPr>
      <w:rFonts w:ascii="Arial" w:hAnsi="Arial" w:eastAsia="仿宋_GB2312"/>
      <w:color w:val="FFFF00"/>
      <w:kern w:val="2"/>
      <w:sz w:val="32"/>
      <w:szCs w:val="32"/>
    </w:rPr>
  </w:style>
  <w:style w:type="paragraph" w:customStyle="1" w:styleId="77">
    <w:name w:val="ToCaption"/>
    <w:basedOn w:val="1"/>
    <w:next w:val="1"/>
    <w:qFormat/>
    <w:uiPriority w:val="0"/>
    <w:pPr>
      <w:ind w:left="840" w:hanging="420"/>
    </w:pPr>
  </w:style>
  <w:style w:type="paragraph" w:customStyle="1" w:styleId="78">
    <w:name w:val="TOC2"/>
    <w:basedOn w:val="1"/>
    <w:next w:val="1"/>
    <w:qFormat/>
    <w:uiPriority w:val="0"/>
    <w:pPr>
      <w:ind w:left="210"/>
      <w:jc w:val="left"/>
    </w:pPr>
    <w:rPr>
      <w:smallCaps/>
      <w:szCs w:val="24"/>
    </w:rPr>
  </w:style>
  <w:style w:type="paragraph" w:customStyle="1" w:styleId="79">
    <w:name w:val="TOC9"/>
    <w:basedOn w:val="1"/>
    <w:next w:val="1"/>
    <w:qFormat/>
    <w:uiPriority w:val="0"/>
    <w:pPr>
      <w:ind w:left="1680"/>
      <w:jc w:val="left"/>
    </w:pPr>
  </w:style>
  <w:style w:type="paragraph" w:customStyle="1" w:styleId="80">
    <w:name w:val="BodyText2"/>
    <w:basedOn w:val="1"/>
    <w:link w:val="81"/>
    <w:qFormat/>
    <w:uiPriority w:val="0"/>
    <w:pPr>
      <w:jc w:val="center"/>
    </w:pPr>
    <w:rPr>
      <w:rFonts w:ascii="楷体_GB2312" w:eastAsia="楷体_GB2312"/>
      <w:sz w:val="28"/>
      <w:szCs w:val="28"/>
    </w:rPr>
  </w:style>
  <w:style w:type="character" w:customStyle="1" w:styleId="81">
    <w:name w:val="UserStyle_25"/>
    <w:link w:val="80"/>
    <w:qFormat/>
    <w:uiPriority w:val="0"/>
    <w:rPr>
      <w:rFonts w:ascii="楷体_GB2312" w:eastAsia="楷体_GB2312"/>
      <w:kern w:val="2"/>
      <w:sz w:val="28"/>
      <w:szCs w:val="28"/>
    </w:rPr>
  </w:style>
  <w:style w:type="paragraph" w:customStyle="1" w:styleId="82">
    <w:name w:val="ListContinue2"/>
    <w:basedOn w:val="1"/>
    <w:qFormat/>
    <w:uiPriority w:val="0"/>
    <w:pPr>
      <w:spacing w:after="120"/>
      <w:ind w:left="840"/>
    </w:pPr>
    <w:rPr>
      <w:szCs w:val="24"/>
    </w:rPr>
  </w:style>
  <w:style w:type="paragraph" w:customStyle="1" w:styleId="83">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84">
    <w:name w:val="Index1"/>
    <w:basedOn w:val="1"/>
    <w:next w:val="1"/>
    <w:semiHidden/>
    <w:qFormat/>
    <w:uiPriority w:val="0"/>
    <w:pPr>
      <w:spacing w:line="240" w:lineRule="atLeast"/>
    </w:pPr>
    <w:rPr>
      <w:rFonts w:cs="Times New Roman"/>
      <w:b/>
      <w:bCs/>
    </w:rPr>
  </w:style>
  <w:style w:type="character" w:customStyle="1" w:styleId="85">
    <w:name w:val="标题 Char"/>
    <w:link w:val="12"/>
    <w:qFormat/>
    <w:uiPriority w:val="0"/>
    <w:rPr>
      <w:rFonts w:ascii="Arial" w:hAnsi="Arial"/>
      <w:b/>
      <w:sz w:val="32"/>
    </w:rPr>
  </w:style>
  <w:style w:type="paragraph" w:customStyle="1" w:styleId="86">
    <w:name w:val="AnnotationSubject"/>
    <w:basedOn w:val="49"/>
    <w:next w:val="49"/>
    <w:link w:val="87"/>
    <w:qFormat/>
    <w:uiPriority w:val="0"/>
    <w:rPr>
      <w:rFonts w:cs="Times New Roman"/>
      <w:b/>
      <w:bCs/>
    </w:rPr>
  </w:style>
  <w:style w:type="character" w:customStyle="1" w:styleId="87">
    <w:name w:val="UserStyle_27"/>
    <w:link w:val="86"/>
    <w:qFormat/>
    <w:uiPriority w:val="0"/>
    <w:rPr>
      <w:rFonts w:cs="Times New Roman"/>
      <w:b/>
      <w:bCs/>
      <w:kern w:val="2"/>
      <w:sz w:val="21"/>
      <w:szCs w:val="21"/>
    </w:rPr>
  </w:style>
  <w:style w:type="paragraph" w:customStyle="1" w:styleId="88">
    <w:name w:val="BodyText1I"/>
    <w:basedOn w:val="1"/>
    <w:link w:val="89"/>
    <w:qFormat/>
    <w:uiPriority w:val="0"/>
    <w:pPr>
      <w:spacing w:line="360" w:lineRule="auto"/>
      <w:ind w:firstLine="200" w:firstLineChars="200"/>
    </w:pPr>
    <w:rPr>
      <w:rFonts w:ascii="仿宋_GB2312" w:eastAsia="仿宋_GB2312"/>
      <w:sz w:val="30"/>
      <w:szCs w:val="30"/>
    </w:rPr>
  </w:style>
  <w:style w:type="character" w:customStyle="1" w:styleId="89">
    <w:name w:val="UserStyle_28"/>
    <w:link w:val="88"/>
    <w:qFormat/>
    <w:uiPriority w:val="0"/>
    <w:rPr>
      <w:rFonts w:ascii="仿宋_GB2312" w:eastAsia="仿宋_GB2312"/>
      <w:kern w:val="2"/>
      <w:sz w:val="30"/>
      <w:szCs w:val="30"/>
    </w:rPr>
  </w:style>
  <w:style w:type="paragraph" w:customStyle="1" w:styleId="90">
    <w:name w:val="BodyText1I2"/>
    <w:basedOn w:val="53"/>
    <w:link w:val="91"/>
    <w:qFormat/>
    <w:uiPriority w:val="0"/>
    <w:pPr>
      <w:spacing w:line="360" w:lineRule="auto"/>
      <w:ind w:firstLine="420" w:firstLineChars="200"/>
    </w:pPr>
    <w:rPr>
      <w:rFonts w:ascii="宋体" w:hAnsi="宋体" w:eastAsia="宋体"/>
      <w:sz w:val="21"/>
      <w:szCs w:val="20"/>
    </w:rPr>
  </w:style>
  <w:style w:type="character" w:customStyle="1" w:styleId="91">
    <w:name w:val="UserStyle_29"/>
    <w:link w:val="90"/>
    <w:qFormat/>
    <w:uiPriority w:val="0"/>
    <w:rPr>
      <w:rFonts w:ascii="宋体" w:hAnsi="宋体"/>
      <w:kern w:val="2"/>
      <w:sz w:val="21"/>
    </w:rPr>
  </w:style>
  <w:style w:type="table" w:customStyle="1" w:styleId="92">
    <w:name w:val="TableGrid"/>
    <w:basedOn w:val="33"/>
    <w:qFormat/>
    <w:uiPriority w:val="0"/>
    <w:tblPr>
      <w:tblCellMar>
        <w:top w:w="0" w:type="dxa"/>
        <w:left w:w="0" w:type="dxa"/>
        <w:bottom w:w="0" w:type="dxa"/>
        <w:right w:w="0" w:type="dxa"/>
      </w:tblCellMar>
    </w:tblPr>
  </w:style>
  <w:style w:type="character" w:customStyle="1" w:styleId="93">
    <w:name w:val="PageNumber"/>
    <w:qFormat/>
    <w:uiPriority w:val="0"/>
  </w:style>
  <w:style w:type="character" w:customStyle="1" w:styleId="94">
    <w:name w:val="AnnotationReference"/>
    <w:qFormat/>
    <w:uiPriority w:val="0"/>
    <w:rPr>
      <w:sz w:val="21"/>
      <w:szCs w:val="21"/>
    </w:rPr>
  </w:style>
  <w:style w:type="character" w:customStyle="1" w:styleId="95">
    <w:name w:val="FootnoteReference"/>
    <w:qFormat/>
    <w:uiPriority w:val="0"/>
    <w:rPr>
      <w:vertAlign w:val="superscript"/>
    </w:rPr>
  </w:style>
  <w:style w:type="character" w:customStyle="1" w:styleId="96">
    <w:name w:val="UserStyle_30"/>
    <w:qFormat/>
    <w:uiPriority w:val="0"/>
    <w:rPr>
      <w:rFonts w:ascii="仿宋_GB2312" w:hAnsi="宋体" w:eastAsia="仿宋_GB2312"/>
      <w:kern w:val="2"/>
      <w:sz w:val="31"/>
      <w:szCs w:val="28"/>
    </w:rPr>
  </w:style>
  <w:style w:type="character" w:customStyle="1" w:styleId="97">
    <w:name w:val="UserStyle_31"/>
    <w:qFormat/>
    <w:uiPriority w:val="0"/>
    <w:rPr>
      <w:rFonts w:eastAsia="宋体"/>
      <w:kern w:val="2"/>
      <w:sz w:val="21"/>
      <w:szCs w:val="24"/>
      <w:lang w:val="en-US" w:eastAsia="zh-CN" w:bidi="ar-SA"/>
    </w:rPr>
  </w:style>
  <w:style w:type="character" w:customStyle="1" w:styleId="98">
    <w:name w:val="UserStyle_32"/>
    <w:qFormat/>
    <w:uiPriority w:val="0"/>
    <w:rPr>
      <w:rFonts w:ascii="Arial" w:hAnsi="Arial" w:eastAsia="黑体" w:cs="Times New Roman"/>
      <w:b/>
      <w:bCs/>
      <w:kern w:val="2"/>
      <w:sz w:val="32"/>
      <w:szCs w:val="32"/>
      <w:lang w:val="en-US" w:eastAsia="zh-CN" w:bidi="ar-SA"/>
    </w:rPr>
  </w:style>
  <w:style w:type="character" w:customStyle="1" w:styleId="99">
    <w:name w:val="UserStyle_33"/>
    <w:link w:val="100"/>
    <w:qFormat/>
    <w:uiPriority w:val="0"/>
    <w:rPr>
      <w:rFonts w:ascii="宋体" w:hAnsi="宋体"/>
      <w:sz w:val="24"/>
      <w:szCs w:val="24"/>
      <w:lang w:val="en-US" w:eastAsia="zh-CN" w:bidi="ar-SA"/>
    </w:rPr>
  </w:style>
  <w:style w:type="paragraph" w:customStyle="1" w:styleId="100">
    <w:name w:val="UserStyle_34"/>
    <w:link w:val="99"/>
    <w:qFormat/>
    <w:uiPriority w:val="0"/>
    <w:pPr>
      <w:textAlignment w:val="baseline"/>
    </w:pPr>
    <w:rPr>
      <w:rFonts w:ascii="宋体" w:hAnsi="宋体" w:eastAsia="宋体" w:cstheme="minorBidi"/>
      <w:sz w:val="24"/>
      <w:szCs w:val="24"/>
      <w:lang w:val="en-US" w:eastAsia="zh-CN" w:bidi="ar-SA"/>
    </w:rPr>
  </w:style>
  <w:style w:type="character" w:customStyle="1" w:styleId="101">
    <w:name w:val="UserStyle_35"/>
    <w:qFormat/>
    <w:uiPriority w:val="0"/>
    <w:rPr>
      <w:i/>
      <w:iCs/>
      <w:color w:val="000000"/>
      <w:kern w:val="2"/>
      <w:sz w:val="21"/>
      <w:szCs w:val="21"/>
    </w:rPr>
  </w:style>
  <w:style w:type="character" w:customStyle="1" w:styleId="102">
    <w:name w:val="UserStyle_36"/>
    <w:qFormat/>
    <w:uiPriority w:val="0"/>
    <w:rPr>
      <w:rFonts w:ascii="Cambria" w:hAnsi="Cambria" w:cs="Times New Roman"/>
      <w:b/>
      <w:bCs/>
      <w:kern w:val="2"/>
      <w:sz w:val="32"/>
      <w:szCs w:val="32"/>
    </w:rPr>
  </w:style>
  <w:style w:type="character" w:customStyle="1" w:styleId="103">
    <w:name w:val="UserStyle_37"/>
    <w:semiHidden/>
    <w:qFormat/>
    <w:uiPriority w:val="0"/>
    <w:rPr>
      <w:rFonts w:ascii="宋体" w:hAnsi="Courier New"/>
      <w:kern w:val="2"/>
      <w:sz w:val="21"/>
      <w:szCs w:val="21"/>
    </w:rPr>
  </w:style>
  <w:style w:type="character" w:customStyle="1" w:styleId="104">
    <w:name w:val="UserStyle_38"/>
    <w:qFormat/>
    <w:uiPriority w:val="0"/>
    <w:rPr>
      <w:rFonts w:ascii="Cambria" w:hAnsi="Cambria" w:cs="Times New Roman"/>
      <w:b/>
      <w:bCs/>
      <w:kern w:val="28"/>
      <w:sz w:val="32"/>
      <w:szCs w:val="32"/>
    </w:rPr>
  </w:style>
  <w:style w:type="character" w:customStyle="1" w:styleId="105">
    <w:name w:val="UserStyle_39"/>
    <w:qFormat/>
    <w:uiPriority w:val="0"/>
    <w:rPr>
      <w:rFonts w:ascii="Arial" w:hAnsi="Arial" w:eastAsia="黑体" w:cs="Times New Roman"/>
      <w:b/>
      <w:bCs/>
      <w:kern w:val="2"/>
      <w:sz w:val="32"/>
      <w:szCs w:val="32"/>
      <w:lang w:val="en-US" w:eastAsia="zh-CN" w:bidi="ar-SA"/>
    </w:rPr>
  </w:style>
  <w:style w:type="character" w:customStyle="1" w:styleId="106">
    <w:name w:val="UserStyle_40"/>
    <w:qFormat/>
    <w:uiPriority w:val="0"/>
    <w:rPr>
      <w:rFonts w:ascii="Arial" w:hAnsi="Arial" w:eastAsia="黑体" w:cs="Times New Roman"/>
      <w:b/>
      <w:bCs/>
      <w:kern w:val="2"/>
      <w:sz w:val="32"/>
      <w:szCs w:val="32"/>
      <w:lang w:val="en-US" w:eastAsia="zh-CN" w:bidi="ar-SA"/>
    </w:rPr>
  </w:style>
  <w:style w:type="character" w:customStyle="1" w:styleId="107">
    <w:name w:val="UserStyle_41"/>
    <w:qFormat/>
    <w:uiPriority w:val="0"/>
    <w:rPr>
      <w:kern w:val="2"/>
      <w:sz w:val="18"/>
      <w:szCs w:val="18"/>
    </w:rPr>
  </w:style>
  <w:style w:type="character" w:customStyle="1" w:styleId="108">
    <w:name w:val="UserStyle_42"/>
    <w:qFormat/>
    <w:uiPriority w:val="0"/>
    <w:rPr>
      <w:kern w:val="2"/>
      <w:sz w:val="18"/>
    </w:rPr>
  </w:style>
  <w:style w:type="character" w:customStyle="1" w:styleId="109">
    <w:name w:val="UserStyle_43"/>
    <w:semiHidden/>
    <w:qFormat/>
    <w:uiPriority w:val="0"/>
    <w:rPr>
      <w:kern w:val="2"/>
      <w:sz w:val="16"/>
      <w:szCs w:val="16"/>
    </w:rPr>
  </w:style>
  <w:style w:type="character" w:customStyle="1" w:styleId="110">
    <w:name w:val="UserStyle_44"/>
    <w:link w:val="111"/>
    <w:qFormat/>
    <w:uiPriority w:val="0"/>
    <w:rPr>
      <w:i/>
      <w:iCs/>
      <w:color w:val="000000"/>
      <w:kern w:val="2"/>
      <w:sz w:val="21"/>
      <w:szCs w:val="24"/>
    </w:rPr>
  </w:style>
  <w:style w:type="paragraph" w:customStyle="1" w:styleId="111">
    <w:name w:val="180"/>
    <w:basedOn w:val="1"/>
    <w:next w:val="1"/>
    <w:link w:val="110"/>
    <w:qFormat/>
    <w:uiPriority w:val="0"/>
    <w:rPr>
      <w:i/>
      <w:iCs/>
      <w:color w:val="000000"/>
      <w:szCs w:val="24"/>
    </w:rPr>
  </w:style>
  <w:style w:type="character" w:customStyle="1" w:styleId="112">
    <w:name w:val="UserStyle_45"/>
    <w:link w:val="113"/>
    <w:qFormat/>
    <w:uiPriority w:val="0"/>
    <w:rPr>
      <w:rFonts w:cs="Times New Roman"/>
      <w:b/>
      <w:bCs/>
      <w:i/>
      <w:iCs/>
      <w:color w:val="4F81BD"/>
      <w:kern w:val="2"/>
      <w:sz w:val="21"/>
      <w:szCs w:val="24"/>
    </w:rPr>
  </w:style>
  <w:style w:type="paragraph" w:customStyle="1" w:styleId="113">
    <w:name w:val="181"/>
    <w:basedOn w:val="1"/>
    <w:next w:val="1"/>
    <w:link w:val="112"/>
    <w:qFormat/>
    <w:uiPriority w:val="0"/>
    <w:pPr>
      <w:pBdr>
        <w:bottom w:val="single" w:color="808080" w:sz="4" w:space="4"/>
      </w:pBdr>
      <w:spacing w:before="200" w:after="280"/>
      <w:ind w:left="936" w:right="936"/>
    </w:pPr>
    <w:rPr>
      <w:rFonts w:cs="Times New Roman"/>
      <w:b/>
      <w:bCs/>
      <w:i/>
      <w:iCs/>
      <w:color w:val="4F81BD"/>
      <w:szCs w:val="24"/>
    </w:rPr>
  </w:style>
  <w:style w:type="character" w:customStyle="1" w:styleId="114">
    <w:name w:val="UserStyle_46"/>
    <w:qFormat/>
    <w:uiPriority w:val="0"/>
    <w:rPr>
      <w:rFonts w:cs="Times New Roman"/>
      <w:b/>
      <w:bCs/>
      <w:i/>
      <w:iCs/>
      <w:color w:val="4F81BD"/>
      <w:kern w:val="2"/>
      <w:sz w:val="21"/>
      <w:szCs w:val="21"/>
    </w:rPr>
  </w:style>
  <w:style w:type="character" w:customStyle="1" w:styleId="115">
    <w:name w:val="UserStyle_47"/>
    <w:qFormat/>
    <w:uiPriority w:val="0"/>
    <w:rPr>
      <w:rFonts w:eastAsia="宋体"/>
      <w:kern w:val="2"/>
      <w:sz w:val="21"/>
      <w:szCs w:val="24"/>
      <w:lang w:val="en-US" w:eastAsia="zh-CN" w:bidi="ar-SA"/>
    </w:rPr>
  </w:style>
  <w:style w:type="character" w:customStyle="1" w:styleId="116">
    <w:name w:val="UserStyle_48"/>
    <w:link w:val="117"/>
    <w:qFormat/>
    <w:uiPriority w:val="0"/>
    <w:rPr>
      <w:b/>
      <w:kern w:val="2"/>
      <w:sz w:val="30"/>
      <w:szCs w:val="28"/>
    </w:rPr>
  </w:style>
  <w:style w:type="paragraph" w:customStyle="1" w:styleId="117">
    <w:name w:val="UserStyle_49"/>
    <w:next w:val="1"/>
    <w:link w:val="116"/>
    <w:qFormat/>
    <w:uiPriority w:val="0"/>
    <w:pPr>
      <w:tabs>
        <w:tab w:val="left" w:pos="907"/>
        <w:tab w:val="left" w:pos="1145"/>
      </w:tabs>
      <w:ind w:left="907" w:hanging="907"/>
      <w:textAlignment w:val="baseline"/>
    </w:pPr>
    <w:rPr>
      <w:rFonts w:ascii="Times New Roman" w:hAnsi="Times New Roman" w:eastAsia="宋体" w:cstheme="minorBidi"/>
      <w:b/>
      <w:kern w:val="2"/>
      <w:sz w:val="30"/>
      <w:szCs w:val="28"/>
      <w:lang w:val="en-US" w:eastAsia="zh-CN" w:bidi="ar-SA"/>
    </w:rPr>
  </w:style>
  <w:style w:type="character" w:customStyle="1" w:styleId="118">
    <w:name w:val="UserStyle_50"/>
    <w:semiHidden/>
    <w:qFormat/>
    <w:uiPriority w:val="0"/>
    <w:rPr>
      <w:kern w:val="2"/>
      <w:sz w:val="21"/>
      <w:szCs w:val="21"/>
    </w:rPr>
  </w:style>
  <w:style w:type="character" w:customStyle="1" w:styleId="119">
    <w:name w:val="UserStyle_51"/>
    <w:semiHidden/>
    <w:qFormat/>
    <w:uiPriority w:val="0"/>
    <w:rPr>
      <w:kern w:val="2"/>
      <w:sz w:val="16"/>
      <w:szCs w:val="16"/>
    </w:rPr>
  </w:style>
  <w:style w:type="character" w:customStyle="1" w:styleId="120">
    <w:name w:val="UserStyle_52"/>
    <w:semiHidden/>
    <w:qFormat/>
    <w:uiPriority w:val="0"/>
    <w:rPr>
      <w:kern w:val="2"/>
      <w:sz w:val="18"/>
      <w:szCs w:val="18"/>
    </w:rPr>
  </w:style>
  <w:style w:type="character" w:customStyle="1" w:styleId="121">
    <w:name w:val="UserStyle_53"/>
    <w:link w:val="122"/>
    <w:qFormat/>
    <w:uiPriority w:val="0"/>
    <w:rPr>
      <w:kern w:val="2"/>
      <w:sz w:val="21"/>
      <w:szCs w:val="24"/>
      <w:lang w:val="en-US" w:eastAsia="zh-CN" w:bidi="ar-SA"/>
    </w:rPr>
  </w:style>
  <w:style w:type="paragraph" w:customStyle="1" w:styleId="122">
    <w:name w:val="Null"/>
    <w:link w:val="121"/>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customStyle="1" w:styleId="123">
    <w:name w:val="UserStyle_54"/>
    <w:link w:val="124"/>
    <w:qFormat/>
    <w:uiPriority w:val="0"/>
    <w:rPr>
      <w:rFonts w:ascii="仿宋_GB2312" w:hAnsi="宋体" w:eastAsia="仿宋_GB2312"/>
      <w:kern w:val="2"/>
      <w:sz w:val="31"/>
      <w:szCs w:val="28"/>
    </w:rPr>
  </w:style>
  <w:style w:type="paragraph" w:customStyle="1" w:styleId="124">
    <w:name w:val="UserStyle_55"/>
    <w:basedOn w:val="1"/>
    <w:link w:val="123"/>
    <w:qFormat/>
    <w:uiPriority w:val="0"/>
    <w:pPr>
      <w:spacing w:line="600" w:lineRule="exact"/>
      <w:ind w:firstLine="639" w:firstLineChars="206"/>
    </w:pPr>
    <w:rPr>
      <w:rFonts w:ascii="仿宋_GB2312" w:hAnsi="宋体" w:eastAsia="仿宋_GB2312"/>
      <w:sz w:val="31"/>
      <w:szCs w:val="28"/>
    </w:rPr>
  </w:style>
  <w:style w:type="character" w:customStyle="1" w:styleId="125">
    <w:name w:val="UserStyle_56"/>
    <w:qFormat/>
    <w:uiPriority w:val="0"/>
    <w:rPr>
      <w:rFonts w:ascii="宋体" w:hAnsi="宋体" w:eastAsia="宋体"/>
      <w:sz w:val="28"/>
      <w:szCs w:val="28"/>
      <w:lang w:val="en-US" w:eastAsia="zh-CN" w:bidi="ar-SA"/>
    </w:rPr>
  </w:style>
  <w:style w:type="character" w:customStyle="1" w:styleId="126">
    <w:name w:val="UserStyle_57"/>
    <w:semiHidden/>
    <w:qFormat/>
    <w:uiPriority w:val="0"/>
    <w:rPr>
      <w:kern w:val="2"/>
      <w:sz w:val="21"/>
      <w:szCs w:val="21"/>
    </w:rPr>
  </w:style>
  <w:style w:type="character" w:customStyle="1" w:styleId="127">
    <w:name w:val="UserStyle_58"/>
    <w:qFormat/>
    <w:uiPriority w:val="0"/>
    <w:rPr>
      <w:rFonts w:ascii="Cambria" w:hAnsi="Cambria" w:cs="Times New Roman"/>
      <w:b/>
      <w:bCs/>
      <w:kern w:val="2"/>
      <w:sz w:val="32"/>
      <w:szCs w:val="32"/>
    </w:rPr>
  </w:style>
  <w:style w:type="character" w:customStyle="1" w:styleId="128">
    <w:name w:val="UserStyle_59"/>
    <w:link w:val="129"/>
    <w:qFormat/>
    <w:locked/>
    <w:uiPriority w:val="0"/>
    <w:rPr>
      <w:rFonts w:ascii="Calibri" w:hAnsi="Calibri"/>
      <w:sz w:val="24"/>
      <w:szCs w:val="24"/>
      <w:lang w:eastAsia="en-US" w:bidi="en-US"/>
    </w:rPr>
  </w:style>
  <w:style w:type="paragraph" w:customStyle="1" w:styleId="129">
    <w:name w:val="UserStyle_60"/>
    <w:basedOn w:val="1"/>
    <w:link w:val="128"/>
    <w:qFormat/>
    <w:uiPriority w:val="0"/>
    <w:pPr>
      <w:ind w:left="720"/>
      <w:contextualSpacing/>
      <w:jc w:val="left"/>
    </w:pPr>
    <w:rPr>
      <w:rFonts w:ascii="Calibri" w:hAnsi="Calibri"/>
      <w:kern w:val="0"/>
      <w:sz w:val="24"/>
      <w:szCs w:val="24"/>
      <w:lang w:eastAsia="en-US" w:bidi="en-US"/>
    </w:rPr>
  </w:style>
  <w:style w:type="character" w:customStyle="1" w:styleId="130">
    <w:name w:val="UserStyle_61"/>
    <w:qFormat/>
    <w:uiPriority w:val="0"/>
    <w:rPr>
      <w:rFonts w:cs="Times New Roman"/>
      <w:b/>
      <w:bCs/>
      <w:sz w:val="32"/>
      <w:szCs w:val="32"/>
    </w:rPr>
  </w:style>
  <w:style w:type="character" w:customStyle="1" w:styleId="131">
    <w:name w:val="UserStyle_62"/>
    <w:semiHidden/>
    <w:qFormat/>
    <w:uiPriority w:val="0"/>
    <w:rPr>
      <w:kern w:val="2"/>
      <w:sz w:val="21"/>
      <w:szCs w:val="21"/>
    </w:rPr>
  </w:style>
  <w:style w:type="character" w:customStyle="1" w:styleId="132">
    <w:name w:val="262"/>
    <w:qFormat/>
    <w:uiPriority w:val="0"/>
    <w:rPr>
      <w:smallCaps/>
      <w:color w:val="C0504D"/>
      <w:u w:val="single"/>
    </w:rPr>
  </w:style>
  <w:style w:type="character" w:customStyle="1" w:styleId="133">
    <w:name w:val="UserStyle_63"/>
    <w:semiHidden/>
    <w:qFormat/>
    <w:uiPriority w:val="0"/>
    <w:rPr>
      <w:kern w:val="2"/>
      <w:sz w:val="18"/>
      <w:szCs w:val="18"/>
    </w:rPr>
  </w:style>
  <w:style w:type="character" w:customStyle="1" w:styleId="134">
    <w:name w:val="UserStyle_64"/>
    <w:semiHidden/>
    <w:qFormat/>
    <w:uiPriority w:val="0"/>
    <w:rPr>
      <w:kern w:val="2"/>
      <w:sz w:val="18"/>
      <w:szCs w:val="18"/>
    </w:rPr>
  </w:style>
  <w:style w:type="character" w:customStyle="1" w:styleId="135">
    <w:name w:val="UserStyle_65"/>
    <w:qFormat/>
    <w:uiPriority w:val="0"/>
    <w:rPr>
      <w:rFonts w:eastAsia="宋体"/>
      <w:kern w:val="2"/>
      <w:sz w:val="21"/>
      <w:szCs w:val="24"/>
      <w:lang w:val="en-US" w:eastAsia="zh-CN" w:bidi="ar-SA"/>
    </w:rPr>
  </w:style>
  <w:style w:type="character" w:customStyle="1" w:styleId="136">
    <w:name w:val="UserStyle_66"/>
    <w:qFormat/>
    <w:uiPriority w:val="0"/>
  </w:style>
  <w:style w:type="character" w:customStyle="1" w:styleId="137">
    <w:name w:val="260"/>
    <w:qFormat/>
    <w:uiPriority w:val="0"/>
    <w:rPr>
      <w:i/>
      <w:iCs/>
      <w:color w:val="808080"/>
    </w:rPr>
  </w:style>
  <w:style w:type="character" w:customStyle="1" w:styleId="138">
    <w:name w:val="UserStyle_67"/>
    <w:semiHidden/>
    <w:qFormat/>
    <w:uiPriority w:val="0"/>
    <w:rPr>
      <w:kern w:val="2"/>
      <w:sz w:val="18"/>
      <w:szCs w:val="18"/>
    </w:rPr>
  </w:style>
  <w:style w:type="character" w:customStyle="1" w:styleId="139">
    <w:name w:val="UserStyle_68"/>
    <w:qFormat/>
    <w:uiPriority w:val="0"/>
    <w:rPr>
      <w:rFonts w:ascii="Arial" w:hAnsi="Arial" w:eastAsia="黑体" w:cs="Times New Roman"/>
      <w:b/>
      <w:bCs/>
      <w:kern w:val="2"/>
      <w:sz w:val="32"/>
      <w:szCs w:val="32"/>
      <w:lang w:val="en-US" w:eastAsia="zh-CN" w:bidi="ar-SA"/>
    </w:rPr>
  </w:style>
  <w:style w:type="character" w:customStyle="1" w:styleId="140">
    <w:name w:val="UserStyle_69"/>
    <w:qFormat/>
    <w:uiPriority w:val="0"/>
    <w:rPr>
      <w:rFonts w:ascii="Arial" w:hAnsi="Arial" w:eastAsia="黑体" w:cs="Times New Roman"/>
      <w:b/>
      <w:bCs/>
      <w:kern w:val="2"/>
      <w:sz w:val="32"/>
      <w:szCs w:val="32"/>
      <w:lang w:val="en-US" w:eastAsia="zh-CN" w:bidi="ar-SA"/>
    </w:rPr>
  </w:style>
  <w:style w:type="character" w:customStyle="1" w:styleId="141">
    <w:name w:val="UserStyle_70"/>
    <w:qFormat/>
    <w:uiPriority w:val="0"/>
    <w:rPr>
      <w:kern w:val="2"/>
      <w:sz w:val="18"/>
    </w:rPr>
  </w:style>
  <w:style w:type="character" w:customStyle="1" w:styleId="142">
    <w:name w:val="UserStyle_71"/>
    <w:semiHidden/>
    <w:qFormat/>
    <w:uiPriority w:val="0"/>
    <w:rPr>
      <w:kern w:val="2"/>
      <w:sz w:val="21"/>
      <w:szCs w:val="21"/>
    </w:rPr>
  </w:style>
  <w:style w:type="character" w:customStyle="1" w:styleId="143">
    <w:name w:val="UserStyle_72"/>
    <w:qFormat/>
    <w:uiPriority w:val="0"/>
    <w:rPr>
      <w:rFonts w:ascii="Arial" w:hAnsi="Arial" w:eastAsia="黑体" w:cs="Times New Roman"/>
      <w:b/>
      <w:bCs/>
      <w:kern w:val="2"/>
      <w:sz w:val="28"/>
      <w:szCs w:val="28"/>
    </w:rPr>
  </w:style>
  <w:style w:type="character" w:customStyle="1" w:styleId="144">
    <w:name w:val="UserStyle_73"/>
    <w:semiHidden/>
    <w:qFormat/>
    <w:uiPriority w:val="0"/>
    <w:rPr>
      <w:rFonts w:cs="Times New Roman"/>
      <w:b/>
      <w:bCs/>
      <w:kern w:val="2"/>
      <w:sz w:val="21"/>
      <w:szCs w:val="21"/>
    </w:rPr>
  </w:style>
  <w:style w:type="character" w:customStyle="1" w:styleId="145">
    <w:name w:val="264"/>
    <w:qFormat/>
    <w:uiPriority w:val="0"/>
    <w:rPr>
      <w:rFonts w:cs="Times New Roman"/>
      <w:b/>
      <w:bCs/>
      <w:smallCaps/>
      <w:spacing w:val="5"/>
    </w:rPr>
  </w:style>
  <w:style w:type="character" w:customStyle="1" w:styleId="146">
    <w:name w:val="UserStyle_74"/>
    <w:semiHidden/>
    <w:qFormat/>
    <w:uiPriority w:val="0"/>
    <w:rPr>
      <w:kern w:val="2"/>
      <w:sz w:val="21"/>
      <w:szCs w:val="21"/>
    </w:rPr>
  </w:style>
  <w:style w:type="character" w:customStyle="1" w:styleId="147">
    <w:name w:val="UserStyle_75"/>
    <w:qFormat/>
    <w:uiPriority w:val="0"/>
    <w:rPr>
      <w:rFonts w:cs="Times New Roman"/>
      <w:b/>
      <w:bCs/>
      <w:i/>
      <w:iCs/>
      <w:color w:val="4F81BD"/>
      <w:kern w:val="2"/>
      <w:sz w:val="21"/>
      <w:szCs w:val="21"/>
    </w:rPr>
  </w:style>
  <w:style w:type="character" w:customStyle="1" w:styleId="148">
    <w:name w:val="UserStyle_76"/>
    <w:qFormat/>
    <w:uiPriority w:val="0"/>
    <w:rPr>
      <w:rFonts w:ascii="Arial" w:hAnsi="Arial" w:eastAsia="黑体" w:cs="Times New Roman"/>
      <w:b/>
      <w:bCs/>
      <w:kern w:val="2"/>
      <w:sz w:val="32"/>
      <w:szCs w:val="32"/>
      <w:lang w:val="en-US" w:eastAsia="zh-CN" w:bidi="ar-SA"/>
    </w:rPr>
  </w:style>
  <w:style w:type="character" w:customStyle="1" w:styleId="149">
    <w:name w:val="263"/>
    <w:qFormat/>
    <w:uiPriority w:val="0"/>
    <w:rPr>
      <w:rFonts w:cs="Times New Roman"/>
      <w:b/>
      <w:bCs/>
      <w:smallCaps/>
      <w:color w:val="C0504D"/>
      <w:spacing w:val="5"/>
      <w:u w:val="single"/>
    </w:rPr>
  </w:style>
  <w:style w:type="character" w:customStyle="1" w:styleId="150">
    <w:name w:val="UserStyle_77"/>
    <w:qFormat/>
    <w:uiPriority w:val="0"/>
    <w:rPr>
      <w:rFonts w:ascii="Cambria" w:hAnsi="Cambria" w:cs="Times New Roman"/>
      <w:b/>
      <w:bCs/>
      <w:kern w:val="28"/>
      <w:sz w:val="32"/>
      <w:szCs w:val="32"/>
    </w:rPr>
  </w:style>
  <w:style w:type="character" w:customStyle="1" w:styleId="151">
    <w:name w:val="261"/>
    <w:qFormat/>
    <w:uiPriority w:val="0"/>
    <w:rPr>
      <w:rFonts w:cs="Times New Roman"/>
      <w:b/>
      <w:bCs/>
      <w:i/>
      <w:iCs/>
      <w:color w:val="4F81BD"/>
    </w:rPr>
  </w:style>
  <w:style w:type="character" w:customStyle="1" w:styleId="152">
    <w:name w:val="UserStyle_78"/>
    <w:semiHidden/>
    <w:qFormat/>
    <w:uiPriority w:val="0"/>
    <w:rPr>
      <w:rFonts w:ascii="宋体"/>
      <w:kern w:val="2"/>
      <w:sz w:val="18"/>
      <w:szCs w:val="18"/>
    </w:rPr>
  </w:style>
  <w:style w:type="character" w:customStyle="1" w:styleId="153">
    <w:name w:val="UserStyle_79"/>
    <w:qFormat/>
    <w:uiPriority w:val="0"/>
    <w:rPr>
      <w:rFonts w:ascii="黑体" w:hAnsi="宋体" w:eastAsia="黑体" w:cs="Times New Roman"/>
      <w:bCs/>
      <w:kern w:val="2"/>
      <w:sz w:val="28"/>
      <w:szCs w:val="28"/>
    </w:rPr>
  </w:style>
  <w:style w:type="character" w:customStyle="1" w:styleId="154">
    <w:name w:val="UserStyle_80"/>
    <w:qFormat/>
    <w:uiPriority w:val="0"/>
    <w:rPr>
      <w:i/>
      <w:iCs/>
      <w:color w:val="000000"/>
      <w:kern w:val="2"/>
      <w:sz w:val="21"/>
      <w:szCs w:val="21"/>
    </w:rPr>
  </w:style>
  <w:style w:type="paragraph" w:customStyle="1" w:styleId="155">
    <w:name w:val="UserStyle_81"/>
    <w:basedOn w:val="23"/>
    <w:qFormat/>
    <w:uiPriority w:val="0"/>
    <w:pPr>
      <w:spacing w:line="360" w:lineRule="auto"/>
      <w:jc w:val="both"/>
    </w:pPr>
    <w:rPr>
      <w:rFonts w:eastAsia="宋体" w:cs="宋体"/>
      <w:color w:val="000000"/>
      <w:sz w:val="32"/>
      <w:szCs w:val="20"/>
    </w:rPr>
  </w:style>
  <w:style w:type="paragraph" w:customStyle="1" w:styleId="156">
    <w:name w:val="UserStyle_82"/>
    <w:basedOn w:val="1"/>
    <w:qFormat/>
    <w:uiPriority w:val="0"/>
    <w:pPr>
      <w:spacing w:before="100" w:beforeAutospacing="1" w:after="100" w:afterAutospacing="1"/>
      <w:jc w:val="left"/>
    </w:pPr>
    <w:rPr>
      <w:rFonts w:ascii="宋体" w:hAnsi="宋体"/>
      <w:kern w:val="0"/>
      <w:sz w:val="28"/>
      <w:szCs w:val="28"/>
    </w:rPr>
  </w:style>
  <w:style w:type="paragraph" w:customStyle="1" w:styleId="157">
    <w:name w:val="UserStyle_83"/>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158">
    <w:name w:val="UserStyle_84"/>
    <w:basedOn w:val="1"/>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59">
    <w:name w:val="UserStyle_85"/>
    <w:basedOn w:val="1"/>
    <w:qFormat/>
    <w:uiPriority w:val="0"/>
    <w:pPr>
      <w:spacing w:before="100" w:beforeAutospacing="1" w:after="100" w:afterAutospacing="1"/>
      <w:jc w:val="left"/>
    </w:pPr>
    <w:rPr>
      <w:rFonts w:ascii="宋体" w:hAnsi="宋体"/>
      <w:kern w:val="0"/>
      <w:sz w:val="24"/>
      <w:szCs w:val="24"/>
    </w:rPr>
  </w:style>
  <w:style w:type="paragraph" w:customStyle="1" w:styleId="160">
    <w:name w:val="UserStyle_86"/>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61">
    <w:name w:val="UserStyle_87"/>
    <w:basedOn w:val="22"/>
    <w:qFormat/>
    <w:uiPriority w:val="0"/>
    <w:pPr>
      <w:keepLines/>
      <w:spacing w:before="120" w:after="120" w:line="400" w:lineRule="exact"/>
    </w:pPr>
    <w:rPr>
      <w:rFonts w:ascii="黑体" w:hAnsi="黑体" w:eastAsia="黑体"/>
      <w:kern w:val="44"/>
      <w:sz w:val="32"/>
      <w:szCs w:val="20"/>
    </w:rPr>
  </w:style>
  <w:style w:type="paragraph" w:customStyle="1" w:styleId="162">
    <w:name w:val="UserStyle_88"/>
    <w:basedOn w:val="25"/>
    <w:qFormat/>
    <w:uiPriority w:val="0"/>
    <w:pPr>
      <w:spacing w:before="20" w:after="20" w:line="415" w:lineRule="auto"/>
      <w:ind w:firstLine="137" w:firstLineChars="49"/>
    </w:pPr>
    <w:rPr>
      <w:rFonts w:hAnsi="黑体" w:eastAsia="黑体"/>
      <w:b w:val="0"/>
      <w:bCs w:val="0"/>
      <w:sz w:val="24"/>
      <w:szCs w:val="20"/>
    </w:rPr>
  </w:style>
  <w:style w:type="paragraph" w:customStyle="1" w:styleId="163">
    <w:name w:val="UserStyle_89"/>
    <w:basedOn w:val="23"/>
    <w:qFormat/>
    <w:uiPriority w:val="0"/>
    <w:pPr>
      <w:spacing w:before="100" w:after="0" w:line="400" w:lineRule="exact"/>
      <w:jc w:val="both"/>
    </w:pPr>
    <w:rPr>
      <w:rFonts w:ascii="Times New Roman" w:hAnsi="Times New Roman" w:eastAsia="黑体"/>
      <w:b w:val="0"/>
      <w:bCs w:val="0"/>
      <w:sz w:val="28"/>
      <w:szCs w:val="20"/>
    </w:rPr>
  </w:style>
  <w:style w:type="paragraph" w:customStyle="1" w:styleId="164">
    <w:name w:val="UserStyle_90"/>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65">
    <w:name w:val="UserStyle_91"/>
    <w:basedOn w:val="1"/>
    <w:qFormat/>
    <w:uiPriority w:val="0"/>
    <w:pPr>
      <w:spacing w:before="100" w:beforeAutospacing="1" w:after="100" w:afterAutospacing="1"/>
      <w:jc w:val="left"/>
    </w:pPr>
    <w:rPr>
      <w:rFonts w:ascii="宋体" w:hAnsi="宋体"/>
      <w:kern w:val="0"/>
      <w:sz w:val="24"/>
      <w:szCs w:val="24"/>
    </w:rPr>
  </w:style>
  <w:style w:type="paragraph" w:customStyle="1" w:styleId="166">
    <w:name w:val="UserStyle_92"/>
    <w:basedOn w:val="1"/>
    <w:qFormat/>
    <w:uiPriority w:val="0"/>
    <w:rPr>
      <w:rFonts w:ascii="宋体" w:hAnsi="Courier New"/>
      <w:sz w:val="28"/>
      <w:szCs w:val="24"/>
    </w:rPr>
  </w:style>
  <w:style w:type="paragraph" w:customStyle="1" w:styleId="167">
    <w:name w:val="UserStyle_93"/>
    <w:basedOn w:val="1"/>
    <w:qFormat/>
    <w:uiPriority w:val="0"/>
    <w:pPr>
      <w:spacing w:line="360" w:lineRule="auto"/>
    </w:pPr>
    <w:rPr>
      <w:kern w:val="0"/>
      <w:sz w:val="24"/>
      <w:szCs w:val="20"/>
    </w:rPr>
  </w:style>
  <w:style w:type="paragraph" w:customStyle="1" w:styleId="168">
    <w:name w:val="UserStyle_94"/>
    <w:basedOn w:val="1"/>
    <w:qFormat/>
    <w:uiPriority w:val="0"/>
    <w:pPr>
      <w:spacing w:before="120" w:after="120" w:line="360" w:lineRule="auto"/>
      <w:ind w:firstLine="480"/>
      <w:jc w:val="left"/>
    </w:pPr>
    <w:rPr>
      <w:rFonts w:ascii="Arial" w:hAnsi="Arial"/>
      <w:kern w:val="0"/>
      <w:sz w:val="24"/>
      <w:szCs w:val="24"/>
    </w:rPr>
  </w:style>
  <w:style w:type="paragraph" w:customStyle="1" w:styleId="169">
    <w:name w:val="UserStyle_95"/>
    <w:basedOn w:val="1"/>
    <w:next w:val="21"/>
    <w:qFormat/>
    <w:uiPriority w:val="0"/>
    <w:pPr>
      <w:spacing w:after="120"/>
    </w:pPr>
    <w:rPr>
      <w:rFonts w:ascii="宋体" w:hAnsi="Arial" w:cs="Times New Roman"/>
      <w:bCs/>
      <w:iCs/>
      <w:szCs w:val="24"/>
    </w:rPr>
  </w:style>
  <w:style w:type="paragraph" w:customStyle="1" w:styleId="170">
    <w:name w:val="UserStyle_9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paragraph" w:customStyle="1" w:styleId="171">
    <w:name w:val="UserStyle_97"/>
    <w:basedOn w:val="1"/>
    <w:qFormat/>
    <w:uiPriority w:val="0"/>
    <w:pPr>
      <w:spacing w:before="100" w:beforeAutospacing="1" w:after="100" w:afterAutospacing="1"/>
      <w:jc w:val="left"/>
    </w:pPr>
    <w:rPr>
      <w:rFonts w:ascii="宋体" w:hAnsi="宋体"/>
      <w:kern w:val="0"/>
      <w:sz w:val="28"/>
      <w:szCs w:val="28"/>
      <w:u w:val="single"/>
    </w:rPr>
  </w:style>
  <w:style w:type="paragraph" w:customStyle="1" w:styleId="172">
    <w:name w:val="UserStyle_98"/>
    <w:basedOn w:val="1"/>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paragraph" w:customStyle="1" w:styleId="173">
    <w:name w:val="UserStyle_99"/>
    <w:qFormat/>
    <w:uiPriority w:val="0"/>
    <w:pPr>
      <w:numPr>
        <w:ilvl w:val="0"/>
        <w:numId w:val="2"/>
      </w:numPr>
      <w:snapToGrid w:val="0"/>
      <w:spacing w:before="240" w:line="600" w:lineRule="atLeast"/>
    </w:pPr>
    <w:rPr>
      <w:rFonts w:ascii="Times New Roman" w:hAnsi="Times New Roman" w:eastAsia="宋体" w:cstheme="minorBidi"/>
      <w:b/>
      <w:i/>
      <w:sz w:val="28"/>
      <w:lang w:val="en-US" w:eastAsia="zh-CN" w:bidi="ar-SA"/>
    </w:rPr>
  </w:style>
  <w:style w:type="paragraph" w:customStyle="1" w:styleId="174">
    <w:name w:val="UserStyle_100"/>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75">
    <w:name w:val="UserStyle_101"/>
    <w:basedOn w:val="1"/>
    <w:next w:val="1"/>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176">
    <w:name w:val="UserStyle_102"/>
    <w:basedOn w:val="1"/>
    <w:qFormat/>
    <w:uiPriority w:val="0"/>
    <w:pPr>
      <w:spacing w:line="420" w:lineRule="atLeast"/>
      <w:jc w:val="left"/>
    </w:pPr>
    <w:rPr>
      <w:kern w:val="0"/>
      <w:szCs w:val="24"/>
    </w:rPr>
  </w:style>
  <w:style w:type="paragraph" w:customStyle="1" w:styleId="177">
    <w:name w:val="UserStyle_103"/>
    <w:basedOn w:val="12"/>
    <w:qFormat/>
    <w:uiPriority w:val="0"/>
    <w:rPr>
      <w:rFonts w:ascii="Impact" w:hAnsi="Impact"/>
      <w:b w:val="0"/>
      <w:caps/>
      <w:color w:val="000000"/>
      <w:sz w:val="28"/>
      <w:szCs w:val="28"/>
    </w:rPr>
  </w:style>
  <w:style w:type="paragraph" w:customStyle="1" w:styleId="178">
    <w:name w:val="UserStyle_104"/>
    <w:basedOn w:val="1"/>
    <w:next w:val="1"/>
    <w:qFormat/>
    <w:uiPriority w:val="0"/>
    <w:rPr>
      <w:szCs w:val="24"/>
    </w:rPr>
  </w:style>
  <w:style w:type="paragraph" w:customStyle="1" w:styleId="179">
    <w:name w:val="UserStyle_105"/>
    <w:basedOn w:val="1"/>
    <w:qFormat/>
    <w:uiPriority w:val="0"/>
    <w:pPr>
      <w:spacing w:line="360" w:lineRule="auto"/>
      <w:ind w:firstLine="420"/>
    </w:pPr>
    <w:rPr>
      <w:rFonts w:ascii="宋体"/>
      <w:sz w:val="24"/>
      <w:szCs w:val="24"/>
    </w:rPr>
  </w:style>
  <w:style w:type="paragraph" w:customStyle="1" w:styleId="180">
    <w:name w:val="UserStyle_106"/>
    <w:basedOn w:val="1"/>
    <w:next w:val="1"/>
    <w:qFormat/>
    <w:uiPriority w:val="0"/>
    <w:pPr>
      <w:snapToGrid w:val="0"/>
      <w:spacing w:line="590" w:lineRule="atLeast"/>
      <w:ind w:firstLine="624"/>
    </w:pPr>
    <w:rPr>
      <w:rFonts w:ascii="方正黑体_GBK" w:eastAsia="方正黑体_GBK"/>
      <w:kern w:val="0"/>
      <w:sz w:val="32"/>
      <w:szCs w:val="32"/>
    </w:rPr>
  </w:style>
  <w:style w:type="paragraph" w:customStyle="1" w:styleId="181">
    <w:name w:val="UserStyle_107"/>
    <w:basedOn w:val="47"/>
    <w:qFormat/>
    <w:uiPriority w:val="0"/>
    <w:rPr>
      <w:rFonts w:ascii="Tahoma" w:hAnsi="Tahoma"/>
      <w:sz w:val="24"/>
      <w:szCs w:val="24"/>
    </w:rPr>
  </w:style>
  <w:style w:type="paragraph" w:customStyle="1" w:styleId="182">
    <w:name w:val="UserStyle_108"/>
    <w:basedOn w:val="1"/>
    <w:next w:val="1"/>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183">
    <w:name w:val="UserStyle_109"/>
    <w:basedOn w:val="47"/>
    <w:qFormat/>
    <w:uiPriority w:val="0"/>
    <w:pPr>
      <w:snapToGrid w:val="0"/>
      <w:spacing w:line="360" w:lineRule="auto"/>
    </w:pPr>
    <w:rPr>
      <w:rFonts w:ascii="Tahoma" w:hAnsi="Tahoma"/>
      <w:sz w:val="24"/>
      <w:szCs w:val="24"/>
    </w:rPr>
  </w:style>
  <w:style w:type="paragraph" w:customStyle="1" w:styleId="184">
    <w:name w:val="UserStyle_110"/>
    <w:basedOn w:val="1"/>
    <w:qFormat/>
    <w:uiPriority w:val="0"/>
    <w:pPr>
      <w:jc w:val="left"/>
    </w:pPr>
    <w:rPr>
      <w:kern w:val="0"/>
      <w:sz w:val="20"/>
      <w:szCs w:val="20"/>
      <w:lang w:val="de-DE" w:eastAsia="de-DE"/>
    </w:rPr>
  </w:style>
  <w:style w:type="paragraph" w:customStyle="1" w:styleId="185">
    <w:name w:val="UserStyle_111"/>
    <w:basedOn w:val="1"/>
    <w:qFormat/>
    <w:uiPriority w:val="0"/>
    <w:pPr>
      <w:spacing w:before="100" w:beforeAutospacing="1" w:after="100" w:afterAutospacing="1"/>
      <w:jc w:val="center"/>
    </w:pPr>
    <w:rPr>
      <w:rFonts w:ascii="宋体" w:hAnsi="宋体" w:cs="Times New Roman"/>
      <w:b/>
      <w:bCs/>
      <w:kern w:val="0"/>
      <w:sz w:val="36"/>
      <w:szCs w:val="36"/>
    </w:rPr>
  </w:style>
  <w:style w:type="paragraph" w:customStyle="1" w:styleId="186">
    <w:name w:val="UserStyle_112"/>
    <w:basedOn w:val="1"/>
    <w:qFormat/>
    <w:uiPriority w:val="0"/>
    <w:pPr>
      <w:spacing w:after="160" w:line="240" w:lineRule="exact"/>
      <w:jc w:val="left"/>
    </w:pPr>
    <w:rPr>
      <w:rFonts w:ascii="Verdana" w:hAnsi="Verdana"/>
      <w:kern w:val="0"/>
      <w:sz w:val="20"/>
      <w:szCs w:val="20"/>
      <w:lang w:eastAsia="en-US"/>
    </w:rPr>
  </w:style>
  <w:style w:type="paragraph" w:customStyle="1" w:styleId="187">
    <w:name w:val="UserStyle_113"/>
    <w:basedOn w:val="1"/>
    <w:qFormat/>
    <w:uiPriority w:val="0"/>
    <w:pPr>
      <w:spacing w:before="120"/>
      <w:jc w:val="left"/>
    </w:pPr>
    <w:rPr>
      <w:rFonts w:cs="Times New Roman"/>
      <w:bCs/>
      <w:kern w:val="0"/>
      <w:sz w:val="20"/>
      <w:szCs w:val="20"/>
      <w:lang w:val="de-DE" w:eastAsia="de-DE"/>
    </w:rPr>
  </w:style>
  <w:style w:type="paragraph" w:customStyle="1" w:styleId="188">
    <w:name w:val="UserStyle_114"/>
    <w:basedOn w:val="1"/>
    <w:qFormat/>
    <w:uiPriority w:val="0"/>
    <w:pPr>
      <w:spacing w:line="360" w:lineRule="auto"/>
      <w:ind w:firstLine="420"/>
    </w:pPr>
    <w:rPr>
      <w:rFonts w:ascii="宋体"/>
      <w:sz w:val="24"/>
      <w:szCs w:val="24"/>
    </w:rPr>
  </w:style>
  <w:style w:type="paragraph" w:customStyle="1" w:styleId="189">
    <w:name w:val="UserStyle_115"/>
    <w:basedOn w:val="23"/>
    <w:qFormat/>
    <w:uiPriority w:val="0"/>
    <w:pPr>
      <w:spacing w:line="360" w:lineRule="auto"/>
      <w:jc w:val="both"/>
    </w:pPr>
    <w:rPr>
      <w:rFonts w:ascii="宋体" w:hAnsi="宋体" w:eastAsia="宋体"/>
      <w:bCs w:val="0"/>
      <w:color w:val="000000"/>
      <w:kern w:val="0"/>
      <w:sz w:val="32"/>
      <w:szCs w:val="32"/>
    </w:rPr>
  </w:style>
  <w:style w:type="paragraph" w:customStyle="1" w:styleId="190">
    <w:name w:val="UserStyle_116"/>
    <w:basedOn w:val="1"/>
    <w:qFormat/>
    <w:uiPriority w:val="0"/>
    <w:pPr>
      <w:numPr>
        <w:ilvl w:val="0"/>
        <w:numId w:val="3"/>
      </w:numPr>
    </w:pPr>
    <w:rPr>
      <w:rFonts w:ascii="宋体" w:hAnsi="宋体"/>
      <w:kern w:val="0"/>
    </w:rPr>
  </w:style>
  <w:style w:type="paragraph" w:customStyle="1" w:styleId="191">
    <w:name w:val="179"/>
    <w:basedOn w:val="1"/>
    <w:qFormat/>
    <w:uiPriority w:val="0"/>
    <w:pPr>
      <w:ind w:left="720"/>
      <w:contextualSpacing/>
      <w:jc w:val="left"/>
    </w:pPr>
    <w:rPr>
      <w:rFonts w:ascii="Calibri" w:hAnsi="Calibri"/>
      <w:kern w:val="0"/>
      <w:sz w:val="24"/>
      <w:szCs w:val="24"/>
      <w:lang w:eastAsia="en-US" w:bidi="en-US"/>
    </w:rPr>
  </w:style>
  <w:style w:type="paragraph" w:customStyle="1" w:styleId="192">
    <w:name w:val="UserStyle_117"/>
    <w:basedOn w:val="1"/>
    <w:qFormat/>
    <w:uiPriority w:val="0"/>
    <w:pPr>
      <w:ind w:firstLine="420"/>
      <w:jc w:val="left"/>
    </w:pPr>
    <w:rPr>
      <w:kern w:val="0"/>
      <w:sz w:val="20"/>
      <w:szCs w:val="20"/>
    </w:rPr>
  </w:style>
  <w:style w:type="paragraph" w:customStyle="1" w:styleId="193">
    <w:name w:val="UserStyle_118"/>
    <w:basedOn w:val="1"/>
    <w:qFormat/>
    <w:uiPriority w:val="0"/>
    <w:pPr>
      <w:ind w:left="720"/>
      <w:contextualSpacing/>
      <w:jc w:val="left"/>
    </w:pPr>
    <w:rPr>
      <w:rFonts w:ascii="Calibri" w:hAnsi="Calibri"/>
      <w:kern w:val="0"/>
      <w:sz w:val="24"/>
      <w:szCs w:val="24"/>
      <w:lang w:eastAsia="en-US" w:bidi="en-US"/>
    </w:rPr>
  </w:style>
  <w:style w:type="paragraph" w:customStyle="1" w:styleId="194">
    <w:name w:val="UserStyle_119"/>
    <w:basedOn w:val="25"/>
    <w:qFormat/>
    <w:uiPriority w:val="0"/>
    <w:pPr>
      <w:spacing w:before="0" w:after="0" w:line="400" w:lineRule="exact"/>
      <w:ind w:firstLine="137" w:firstLineChars="49"/>
    </w:pPr>
    <w:rPr>
      <w:rFonts w:hAnsi="黑体" w:eastAsia="黑体" w:cs="宋体"/>
      <w:sz w:val="24"/>
      <w:szCs w:val="20"/>
    </w:rPr>
  </w:style>
  <w:style w:type="paragraph" w:customStyle="1" w:styleId="195">
    <w:name w:val="UserStyle_120"/>
    <w:basedOn w:val="1"/>
    <w:qFormat/>
    <w:uiPriority w:val="0"/>
    <w:pPr>
      <w:spacing w:after="160" w:line="240" w:lineRule="exact"/>
      <w:jc w:val="left"/>
    </w:pPr>
    <w:rPr>
      <w:rFonts w:ascii="Verdana" w:hAnsi="Verdana"/>
      <w:kern w:val="0"/>
      <w:sz w:val="20"/>
      <w:szCs w:val="20"/>
      <w:lang w:eastAsia="en-US"/>
    </w:rPr>
  </w:style>
  <w:style w:type="paragraph" w:customStyle="1" w:styleId="196">
    <w:name w:val="UserStyle_121"/>
    <w:basedOn w:val="47"/>
    <w:qFormat/>
    <w:uiPriority w:val="0"/>
    <w:pPr>
      <w:snapToGrid w:val="0"/>
      <w:spacing w:line="360" w:lineRule="auto"/>
    </w:pPr>
    <w:rPr>
      <w:rFonts w:ascii="Tahoma" w:hAnsi="Tahoma"/>
      <w:sz w:val="24"/>
      <w:szCs w:val="24"/>
    </w:rPr>
  </w:style>
  <w:style w:type="paragraph" w:customStyle="1" w:styleId="197">
    <w:name w:val="UserStyle_122"/>
    <w:basedOn w:val="47"/>
    <w:qFormat/>
    <w:uiPriority w:val="0"/>
    <w:rPr>
      <w:rFonts w:ascii="Tahoma" w:hAnsi="Tahoma"/>
      <w:sz w:val="24"/>
      <w:szCs w:val="24"/>
      <w:shd w:val="clear" w:color="auto" w:fill="000080"/>
    </w:rPr>
  </w:style>
  <w:style w:type="paragraph" w:customStyle="1" w:styleId="198">
    <w:name w:val="266"/>
    <w:basedOn w:val="22"/>
    <w:next w:val="1"/>
    <w:qFormat/>
    <w:uiPriority w:val="0"/>
    <w:pPr>
      <w:keepLines/>
      <w:spacing w:before="340" w:after="330" w:line="578" w:lineRule="auto"/>
    </w:pPr>
    <w:rPr>
      <w:rFonts w:ascii="Times New Roman" w:eastAsia="宋体" w:cs="Times New Roman"/>
      <w:b/>
      <w:bCs/>
      <w:kern w:val="44"/>
      <w:sz w:val="44"/>
      <w:szCs w:val="44"/>
    </w:rPr>
  </w:style>
  <w:style w:type="paragraph" w:customStyle="1" w:styleId="199">
    <w:name w:val="UserStyle_123"/>
    <w:basedOn w:val="1"/>
    <w:qFormat/>
    <w:uiPriority w:val="0"/>
    <w:rPr>
      <w:rFonts w:ascii="宋体" w:hAnsi="Courier New"/>
      <w:sz w:val="28"/>
      <w:szCs w:val="24"/>
    </w:rPr>
  </w:style>
  <w:style w:type="paragraph" w:customStyle="1" w:styleId="200">
    <w:name w:val="UserStyle_124"/>
    <w:basedOn w:val="25"/>
    <w:qFormat/>
    <w:uiPriority w:val="0"/>
    <w:pPr>
      <w:spacing w:before="20" w:after="20" w:line="415" w:lineRule="auto"/>
      <w:ind w:firstLine="137" w:firstLineChars="49"/>
    </w:pPr>
    <w:rPr>
      <w:rFonts w:hAnsi="黑体" w:eastAsia="Arial"/>
      <w:b w:val="0"/>
      <w:bCs w:val="0"/>
      <w:sz w:val="24"/>
      <w:szCs w:val="20"/>
    </w:rPr>
  </w:style>
  <w:style w:type="paragraph" w:customStyle="1" w:styleId="201">
    <w:name w:val="UserStyle_125"/>
    <w:basedOn w:val="1"/>
    <w:qFormat/>
    <w:uiPriority w:val="0"/>
    <w:pPr>
      <w:spacing w:before="100" w:beforeAutospacing="1" w:after="100" w:afterAutospacing="1"/>
      <w:jc w:val="left"/>
    </w:pPr>
    <w:rPr>
      <w:rFonts w:ascii="宋体" w:hAnsi="宋体"/>
      <w:kern w:val="0"/>
      <w:sz w:val="18"/>
      <w:szCs w:val="18"/>
    </w:rPr>
  </w:style>
  <w:style w:type="paragraph" w:customStyle="1" w:styleId="202">
    <w:name w:val="UserStyle_126"/>
    <w:basedOn w:val="1"/>
    <w:qFormat/>
    <w:uiPriority w:val="0"/>
    <w:pPr>
      <w:jc w:val="center"/>
      <w:textAlignment w:val="center"/>
    </w:pPr>
    <w:rPr>
      <w:rFonts w:ascii="华文细黑" w:hAnsi="华文细黑"/>
      <w:kern w:val="0"/>
      <w:szCs w:val="24"/>
    </w:rPr>
  </w:style>
  <w:style w:type="paragraph" w:customStyle="1" w:styleId="203">
    <w:name w:val="UserStyle_127"/>
    <w:basedOn w:val="1"/>
    <w:next w:val="75"/>
    <w:qFormat/>
    <w:uiPriority w:val="0"/>
    <w:pPr>
      <w:spacing w:line="360" w:lineRule="auto"/>
      <w:ind w:firstLine="420"/>
    </w:pPr>
    <w:rPr>
      <w:color w:val="FF0000"/>
      <w:sz w:val="24"/>
      <w:szCs w:val="24"/>
    </w:rPr>
  </w:style>
  <w:style w:type="paragraph" w:customStyle="1" w:styleId="204">
    <w:name w:val="UserStyle_128"/>
    <w:basedOn w:val="1"/>
    <w:qFormat/>
    <w:uiPriority w:val="0"/>
    <w:pPr>
      <w:tabs>
        <w:tab w:val="left" w:pos="360"/>
      </w:tabs>
      <w:ind w:firstLine="200" w:firstLineChars="200"/>
    </w:pPr>
    <w:rPr>
      <w:sz w:val="28"/>
      <w:szCs w:val="30"/>
    </w:rPr>
  </w:style>
  <w:style w:type="paragraph" w:customStyle="1" w:styleId="205">
    <w:name w:val="UserStyle_129"/>
    <w:basedOn w:val="25"/>
    <w:qFormat/>
    <w:uiPriority w:val="0"/>
    <w:pPr>
      <w:spacing w:before="20" w:after="20" w:line="415" w:lineRule="auto"/>
      <w:ind w:firstLine="137" w:firstLineChars="49"/>
    </w:pPr>
    <w:rPr>
      <w:rFonts w:hAnsi="黑体" w:eastAsia="Arial"/>
      <w:b w:val="0"/>
      <w:bCs w:val="0"/>
      <w:sz w:val="24"/>
      <w:szCs w:val="20"/>
    </w:rPr>
  </w:style>
  <w:style w:type="paragraph" w:customStyle="1" w:styleId="206">
    <w:name w:val="UserStyle_130"/>
    <w:basedOn w:val="1"/>
    <w:qFormat/>
    <w:uiPriority w:val="0"/>
    <w:pPr>
      <w:spacing w:before="100" w:beforeAutospacing="1" w:after="100" w:afterAutospacing="1"/>
      <w:jc w:val="left"/>
    </w:pPr>
    <w:rPr>
      <w:rFonts w:ascii="宋体" w:hAnsi="宋体"/>
      <w:kern w:val="0"/>
      <w:sz w:val="24"/>
      <w:szCs w:val="24"/>
    </w:rPr>
  </w:style>
  <w:style w:type="paragraph" w:customStyle="1" w:styleId="207">
    <w:name w:val="UserStyle_131"/>
    <w:basedOn w:val="1"/>
    <w:qFormat/>
    <w:uiPriority w:val="0"/>
    <w:pPr>
      <w:snapToGrid w:val="0"/>
      <w:spacing w:line="320" w:lineRule="exact"/>
      <w:jc w:val="center"/>
    </w:pPr>
    <w:rPr>
      <w:spacing w:val="20"/>
      <w:kern w:val="28"/>
      <w:szCs w:val="24"/>
    </w:rPr>
  </w:style>
  <w:style w:type="paragraph" w:customStyle="1" w:styleId="208">
    <w:name w:val="UserStyle_132"/>
    <w:basedOn w:val="47"/>
    <w:qFormat/>
    <w:uiPriority w:val="0"/>
    <w:rPr>
      <w:rFonts w:ascii="Tahoma" w:hAnsi="Tahoma"/>
      <w:sz w:val="24"/>
      <w:szCs w:val="24"/>
      <w:shd w:val="clear" w:color="auto" w:fill="000080"/>
    </w:rPr>
  </w:style>
  <w:style w:type="character" w:customStyle="1" w:styleId="209">
    <w:name w:val="UserStyle_133"/>
    <w:semiHidden/>
    <w:qFormat/>
    <w:uiPriority w:val="0"/>
    <w:rPr>
      <w:kern w:val="2"/>
      <w:sz w:val="21"/>
      <w:szCs w:val="24"/>
      <w:lang w:val="en-US" w:eastAsia="zh-CN" w:bidi="ar-SA"/>
    </w:rPr>
  </w:style>
  <w:style w:type="paragraph" w:customStyle="1" w:styleId="210">
    <w:name w:val="UserStyle_134"/>
    <w:basedOn w:val="1"/>
    <w:qFormat/>
    <w:uiPriority w:val="0"/>
    <w:pPr>
      <w:ind w:firstLine="560" w:firstLineChars="200"/>
    </w:pPr>
    <w:rPr>
      <w:rFonts w:ascii="宋体" w:hAnsi="Courier New"/>
    </w:rPr>
  </w:style>
  <w:style w:type="paragraph" w:customStyle="1" w:styleId="211">
    <w:name w:val="UserStyle_135"/>
    <w:basedOn w:val="1"/>
    <w:qFormat/>
    <w:uiPriority w:val="0"/>
    <w:pPr>
      <w:spacing w:line="400" w:lineRule="exact"/>
    </w:pPr>
    <w:rPr>
      <w:rFonts w:ascii="楷体_GB2312"/>
      <w:sz w:val="28"/>
      <w:szCs w:val="20"/>
    </w:rPr>
  </w:style>
  <w:style w:type="paragraph" w:customStyle="1" w:styleId="212">
    <w:name w:val="UserStyle_136"/>
    <w:basedOn w:val="1"/>
    <w:qFormat/>
    <w:uiPriority w:val="0"/>
    <w:pPr>
      <w:ind w:firstLine="420"/>
      <w:jc w:val="left"/>
    </w:pPr>
    <w:rPr>
      <w:rFonts w:eastAsia="楷体_GB2312"/>
      <w:sz w:val="24"/>
      <w:szCs w:val="20"/>
    </w:rPr>
  </w:style>
  <w:style w:type="character" w:customStyle="1" w:styleId="213">
    <w:name w:val="批注框文本 Char"/>
    <w:basedOn w:val="15"/>
    <w:link w:val="7"/>
    <w:qFormat/>
    <w:uiPriority w:val="0"/>
    <w:rPr>
      <w:kern w:val="2"/>
      <w:sz w:val="18"/>
      <w:szCs w:val="18"/>
    </w:rPr>
  </w:style>
  <w:style w:type="paragraph" w:customStyle="1" w:styleId="21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215">
    <w:name w:val="List Paragraph"/>
    <w:basedOn w:val="1"/>
    <w:qFormat/>
    <w:uiPriority w:val="34"/>
    <w:pPr>
      <w:widowControl w:val="0"/>
      <w:spacing w:line="360" w:lineRule="auto"/>
      <w:ind w:firstLine="420" w:firstLineChars="200"/>
      <w:jc w:val="left"/>
      <w:textAlignment w:val="auto"/>
    </w:pPr>
    <w:rPr>
      <w:rFonts w:ascii="Garamond" w:hAnsi="Garamond"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91BB79-18C0-4D78-86B3-B8809F2ECE10}">
  <ds:schemaRefs/>
</ds:datastoreItem>
</file>

<file path=docProps/app.xml><?xml version="1.0" encoding="utf-8"?>
<Properties xmlns="http://schemas.openxmlformats.org/officeDocument/2006/extended-properties" xmlns:vt="http://schemas.openxmlformats.org/officeDocument/2006/docPropsVTypes">
  <Template>Normal.dotm</Template>
  <Pages>53</Pages>
  <Words>4762</Words>
  <Characters>27146</Characters>
  <Lines>226</Lines>
  <Paragraphs>63</Paragraphs>
  <TotalTime>1</TotalTime>
  <ScaleCrop>false</ScaleCrop>
  <LinksUpToDate>false</LinksUpToDate>
  <CharactersWithSpaces>31845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2021-09-14T08:17:00Z</dcterms:created>
  <dc:creator>江苏新世纪2</dc:creator>
  <cp:lastModifiedBy>Administrator</cp:lastModifiedBy>
  <cp:lastPrinted>2021-09-22T01:09:00Z</cp:lastPrinted>
  <dcterms:modified xsi:type="dcterms:W3CDTF">2021-11-08T08:17:29Z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17CB827BE5C847E7A6387BC2FFA20B26</vt:lpwstr>
  </property>
</Properties>
</file>